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1AA" w:rsidRDefault="00201E98" w:rsidP="00201E98">
      <w:pPr>
        <w:jc w:val="center"/>
      </w:pPr>
      <w:bookmarkStart w:id="0" w:name="_GoBack"/>
      <w:bookmarkEnd w:id="0"/>
      <w:r>
        <w:rPr>
          <w:noProof/>
          <w:lang w:eastAsia="en-GB"/>
        </w:rPr>
        <w:drawing>
          <wp:inline distT="0" distB="0" distL="0" distR="0">
            <wp:extent cx="2124075" cy="2124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C_BLK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24223" cy="2124223"/>
                    </a:xfrm>
                    <a:prstGeom prst="rect">
                      <a:avLst/>
                    </a:prstGeom>
                  </pic:spPr>
                </pic:pic>
              </a:graphicData>
            </a:graphic>
          </wp:inline>
        </w:drawing>
      </w:r>
    </w:p>
    <w:p w:rsidR="00201E98" w:rsidRDefault="00201E98" w:rsidP="00201E98">
      <w:pPr>
        <w:pStyle w:val="NoSpacing"/>
        <w:jc w:val="center"/>
        <w:rPr>
          <w:b/>
          <w:color w:val="7030A0"/>
          <w:sz w:val="40"/>
          <w:szCs w:val="40"/>
        </w:rPr>
      </w:pPr>
      <w:r w:rsidRPr="0007227A">
        <w:rPr>
          <w:b/>
          <w:color w:val="7030A0"/>
          <w:sz w:val="40"/>
          <w:szCs w:val="40"/>
        </w:rPr>
        <w:t>Seasonal Flu Vaccine Offers 201</w:t>
      </w:r>
      <w:r>
        <w:rPr>
          <w:b/>
          <w:color w:val="7030A0"/>
          <w:sz w:val="40"/>
          <w:szCs w:val="40"/>
        </w:rPr>
        <w:t>8</w:t>
      </w:r>
      <w:r w:rsidR="002B7BE5">
        <w:rPr>
          <w:b/>
          <w:color w:val="7030A0"/>
          <w:sz w:val="40"/>
          <w:szCs w:val="40"/>
        </w:rPr>
        <w:t>-</w:t>
      </w:r>
      <w:r w:rsidRPr="0007227A">
        <w:rPr>
          <w:b/>
          <w:color w:val="7030A0"/>
          <w:sz w:val="40"/>
          <w:szCs w:val="40"/>
        </w:rPr>
        <w:t>1</w:t>
      </w:r>
      <w:r>
        <w:rPr>
          <w:b/>
          <w:color w:val="7030A0"/>
          <w:sz w:val="40"/>
          <w:szCs w:val="40"/>
        </w:rPr>
        <w:t>9</w:t>
      </w:r>
    </w:p>
    <w:p w:rsidR="00201E98" w:rsidRPr="00804466" w:rsidRDefault="00201E98" w:rsidP="00201E98">
      <w:pPr>
        <w:pStyle w:val="NoSpacing"/>
        <w:jc w:val="center"/>
        <w:rPr>
          <w:b/>
          <w:color w:val="7030A0"/>
          <w:sz w:val="24"/>
          <w:szCs w:val="40"/>
        </w:rPr>
      </w:pPr>
    </w:p>
    <w:p w:rsidR="00201E98" w:rsidRDefault="00804466" w:rsidP="00201E98">
      <w:pPr>
        <w:pStyle w:val="NoSpacing"/>
        <w:rPr>
          <w:sz w:val="24"/>
          <w:szCs w:val="40"/>
        </w:rPr>
      </w:pPr>
      <w:r w:rsidRPr="00804466">
        <w:rPr>
          <w:sz w:val="24"/>
          <w:szCs w:val="40"/>
        </w:rPr>
        <w:t xml:space="preserve">The LMC Buying Group has concluded negotiations </w:t>
      </w:r>
      <w:r w:rsidR="00E2060E" w:rsidRPr="00E2060E">
        <w:rPr>
          <w:sz w:val="24"/>
          <w:szCs w:val="40"/>
        </w:rPr>
        <w:t>with flu vaccine companies for the 201</w:t>
      </w:r>
      <w:r w:rsidR="00E2060E">
        <w:rPr>
          <w:sz w:val="24"/>
          <w:szCs w:val="40"/>
        </w:rPr>
        <w:t>8</w:t>
      </w:r>
      <w:r w:rsidR="00E2060E" w:rsidRPr="00E2060E">
        <w:rPr>
          <w:sz w:val="24"/>
          <w:szCs w:val="40"/>
        </w:rPr>
        <w:t>/1</w:t>
      </w:r>
      <w:r w:rsidR="00E2060E">
        <w:rPr>
          <w:sz w:val="24"/>
          <w:szCs w:val="40"/>
        </w:rPr>
        <w:t>9</w:t>
      </w:r>
      <w:r w:rsidR="00E2060E" w:rsidRPr="00E2060E">
        <w:rPr>
          <w:sz w:val="24"/>
          <w:szCs w:val="40"/>
        </w:rPr>
        <w:t xml:space="preserve"> season and we can now announce that our </w:t>
      </w:r>
      <w:r w:rsidR="00E2060E">
        <w:rPr>
          <w:sz w:val="24"/>
          <w:szCs w:val="40"/>
        </w:rPr>
        <w:t xml:space="preserve">preferred supplier </w:t>
      </w:r>
      <w:r w:rsidR="00BE74F3">
        <w:rPr>
          <w:sz w:val="24"/>
          <w:szCs w:val="40"/>
        </w:rPr>
        <w:t xml:space="preserve">for trivalent vaccines </w:t>
      </w:r>
      <w:r w:rsidR="00E2060E">
        <w:rPr>
          <w:sz w:val="24"/>
          <w:szCs w:val="40"/>
        </w:rPr>
        <w:t>is</w:t>
      </w:r>
      <w:r w:rsidR="00E2060E" w:rsidRPr="00E2060E">
        <w:rPr>
          <w:sz w:val="24"/>
          <w:szCs w:val="40"/>
        </w:rPr>
        <w:t xml:space="preserve"> </w:t>
      </w:r>
      <w:r w:rsidR="00E2060E" w:rsidRPr="00E2060E">
        <w:rPr>
          <w:b/>
          <w:sz w:val="24"/>
          <w:szCs w:val="40"/>
        </w:rPr>
        <w:t>Pfizer</w:t>
      </w:r>
      <w:r w:rsidR="00E2060E" w:rsidRPr="00E2060E">
        <w:rPr>
          <w:sz w:val="24"/>
          <w:szCs w:val="40"/>
        </w:rPr>
        <w:t xml:space="preserve"> </w:t>
      </w:r>
      <w:r w:rsidR="00BE74F3">
        <w:rPr>
          <w:sz w:val="24"/>
          <w:szCs w:val="40"/>
        </w:rPr>
        <w:t xml:space="preserve">and our preferred supplier for quadrivalent vaccines is </w:t>
      </w:r>
      <w:r w:rsidR="00BE74F3" w:rsidRPr="00BE74F3">
        <w:rPr>
          <w:b/>
          <w:sz w:val="24"/>
          <w:szCs w:val="40"/>
        </w:rPr>
        <w:t>Mylan</w:t>
      </w:r>
      <w:r w:rsidR="00BE74F3">
        <w:rPr>
          <w:sz w:val="24"/>
          <w:szCs w:val="40"/>
        </w:rPr>
        <w:t>. O</w:t>
      </w:r>
      <w:r w:rsidR="00E2060E" w:rsidRPr="00E2060E">
        <w:rPr>
          <w:sz w:val="24"/>
          <w:szCs w:val="40"/>
        </w:rPr>
        <w:t xml:space="preserve">ur </w:t>
      </w:r>
      <w:r w:rsidR="00BE74F3">
        <w:rPr>
          <w:sz w:val="24"/>
          <w:szCs w:val="40"/>
        </w:rPr>
        <w:t>other</w:t>
      </w:r>
      <w:r w:rsidR="00E2060E" w:rsidRPr="00E2060E">
        <w:rPr>
          <w:sz w:val="24"/>
          <w:szCs w:val="40"/>
        </w:rPr>
        <w:t xml:space="preserve"> supplier</w:t>
      </w:r>
      <w:r w:rsidR="00E2060E">
        <w:rPr>
          <w:sz w:val="24"/>
          <w:szCs w:val="40"/>
        </w:rPr>
        <w:t xml:space="preserve">s are </w:t>
      </w:r>
      <w:r w:rsidR="00E2060E" w:rsidRPr="00E2060E">
        <w:rPr>
          <w:b/>
          <w:sz w:val="24"/>
          <w:szCs w:val="40"/>
        </w:rPr>
        <w:t>Seqirus</w:t>
      </w:r>
      <w:r w:rsidR="00E2060E">
        <w:rPr>
          <w:sz w:val="24"/>
          <w:szCs w:val="40"/>
        </w:rPr>
        <w:t xml:space="preserve"> and </w:t>
      </w:r>
      <w:r w:rsidR="00E2060E" w:rsidRPr="00E2060E">
        <w:rPr>
          <w:b/>
          <w:sz w:val="24"/>
          <w:szCs w:val="40"/>
        </w:rPr>
        <w:t>MASTA</w:t>
      </w:r>
      <w:r w:rsidR="00E2060E" w:rsidRPr="00283E94">
        <w:rPr>
          <w:b/>
          <w:sz w:val="24"/>
          <w:szCs w:val="40"/>
        </w:rPr>
        <w:t>.</w:t>
      </w:r>
    </w:p>
    <w:p w:rsidR="00E2060E" w:rsidRDefault="00E2060E" w:rsidP="00201E98">
      <w:pPr>
        <w:pStyle w:val="NoSpacing"/>
        <w:rPr>
          <w:sz w:val="24"/>
          <w:szCs w:val="40"/>
        </w:rPr>
      </w:pPr>
    </w:p>
    <w:p w:rsidR="00AA73E5" w:rsidRDefault="00AA73E5" w:rsidP="00AA73E5">
      <w:pPr>
        <w:pStyle w:val="NoSpacing"/>
        <w:rPr>
          <w:sz w:val="24"/>
          <w:szCs w:val="40"/>
        </w:rPr>
      </w:pPr>
      <w:r w:rsidRPr="00AA73E5">
        <w:rPr>
          <w:sz w:val="24"/>
          <w:szCs w:val="40"/>
        </w:rPr>
        <w:t xml:space="preserve">We know that practices choose their vaccine supplier for different reasons, but </w:t>
      </w:r>
      <w:r w:rsidRPr="00AA73E5">
        <w:rPr>
          <w:b/>
          <w:sz w:val="24"/>
          <w:szCs w:val="40"/>
        </w:rPr>
        <w:t>we have ranked our preferred suppliers purely on Profit Per Dose (PPD) for ease of comparison.</w:t>
      </w:r>
      <w:r>
        <w:rPr>
          <w:sz w:val="24"/>
          <w:szCs w:val="40"/>
        </w:rPr>
        <w:t xml:space="preserve"> Other terms such as discounts on the NHS price, sale or return, reserves, early delivery etc. have also been negotiated </w:t>
      </w:r>
      <w:r w:rsidRPr="007319D6">
        <w:rPr>
          <w:sz w:val="24"/>
          <w:szCs w:val="40"/>
        </w:rPr>
        <w:t>and of course play a significant role in your deliberations over choice of supplier along with the evidence-base for choosing the type of vaccine that you deliver to your patients</w:t>
      </w:r>
      <w:r>
        <w:rPr>
          <w:sz w:val="24"/>
          <w:szCs w:val="40"/>
        </w:rPr>
        <w:t>.</w:t>
      </w:r>
    </w:p>
    <w:p w:rsidR="00AA73E5" w:rsidRDefault="00AA73E5" w:rsidP="00201E98">
      <w:pPr>
        <w:pStyle w:val="NoSpacing"/>
        <w:rPr>
          <w:sz w:val="24"/>
          <w:szCs w:val="40"/>
        </w:rPr>
      </w:pPr>
    </w:p>
    <w:p w:rsidR="003F429A" w:rsidRDefault="003F429A" w:rsidP="00201E98">
      <w:pPr>
        <w:pStyle w:val="NoSpacing"/>
        <w:rPr>
          <w:sz w:val="24"/>
          <w:szCs w:val="40"/>
        </w:rPr>
      </w:pPr>
      <w:r>
        <w:rPr>
          <w:sz w:val="24"/>
          <w:szCs w:val="40"/>
        </w:rPr>
        <w:t xml:space="preserve">For the 2018-19 season, the LMC Buying Group can offer members </w:t>
      </w:r>
      <w:r w:rsidR="00AE2E40">
        <w:rPr>
          <w:sz w:val="24"/>
          <w:szCs w:val="40"/>
        </w:rPr>
        <w:t xml:space="preserve">access to </w:t>
      </w:r>
      <w:r w:rsidR="002F51C5">
        <w:rPr>
          <w:sz w:val="24"/>
          <w:szCs w:val="40"/>
        </w:rPr>
        <w:t xml:space="preserve">excellent discounts on </w:t>
      </w:r>
      <w:r w:rsidR="00AE2E40">
        <w:rPr>
          <w:sz w:val="24"/>
          <w:szCs w:val="40"/>
        </w:rPr>
        <w:t>trivalent, adjuvanted trivalent and quadrivalent</w:t>
      </w:r>
      <w:r>
        <w:rPr>
          <w:sz w:val="24"/>
          <w:szCs w:val="40"/>
        </w:rPr>
        <w:t xml:space="preserve"> vaccines from different manufacturers to mitigate against the </w:t>
      </w:r>
      <w:r w:rsidR="00E2060E" w:rsidRPr="00E2060E">
        <w:rPr>
          <w:sz w:val="24"/>
          <w:szCs w:val="40"/>
        </w:rPr>
        <w:t>occasional occurrence of problems in the manufacture and delivery of vaccines</w:t>
      </w:r>
      <w:r>
        <w:rPr>
          <w:sz w:val="24"/>
          <w:szCs w:val="40"/>
        </w:rPr>
        <w:t>.</w:t>
      </w:r>
    </w:p>
    <w:p w:rsidR="00DA5309" w:rsidRDefault="00DA5309" w:rsidP="00201E98">
      <w:pPr>
        <w:pStyle w:val="NoSpacing"/>
        <w:rPr>
          <w:sz w:val="24"/>
          <w:szCs w:val="40"/>
        </w:rPr>
      </w:pPr>
    </w:p>
    <w:p w:rsidR="003A3497" w:rsidRDefault="00DA5309" w:rsidP="00201E98">
      <w:pPr>
        <w:pStyle w:val="NoSpacing"/>
        <w:rPr>
          <w:sz w:val="24"/>
          <w:szCs w:val="40"/>
        </w:rPr>
      </w:pPr>
      <w:r>
        <w:rPr>
          <w:sz w:val="24"/>
          <w:szCs w:val="40"/>
        </w:rPr>
        <w:t xml:space="preserve">We appreciate that some practices have been particularly concerned about early deliveries to </w:t>
      </w:r>
      <w:r w:rsidR="003A3497">
        <w:rPr>
          <w:sz w:val="24"/>
          <w:szCs w:val="40"/>
        </w:rPr>
        <w:t>pharmacy</w:t>
      </w:r>
      <w:r>
        <w:rPr>
          <w:sz w:val="24"/>
          <w:szCs w:val="40"/>
        </w:rPr>
        <w:t xml:space="preserve"> ahead of general practice. </w:t>
      </w:r>
      <w:r w:rsidR="007F0968">
        <w:rPr>
          <w:sz w:val="24"/>
          <w:szCs w:val="40"/>
        </w:rPr>
        <w:t>Our suppliers</w:t>
      </w:r>
      <w:r w:rsidR="000B048B">
        <w:rPr>
          <w:sz w:val="24"/>
          <w:szCs w:val="40"/>
        </w:rPr>
        <w:t xml:space="preserve"> </w:t>
      </w:r>
      <w:r w:rsidR="003A3497">
        <w:rPr>
          <w:sz w:val="24"/>
          <w:szCs w:val="40"/>
        </w:rPr>
        <w:t>have made provision for this (see their offer</w:t>
      </w:r>
      <w:r w:rsidR="000B048B">
        <w:rPr>
          <w:sz w:val="24"/>
          <w:szCs w:val="40"/>
        </w:rPr>
        <w:t>s</w:t>
      </w:r>
      <w:r w:rsidR="00AA73E5">
        <w:rPr>
          <w:sz w:val="24"/>
          <w:szCs w:val="40"/>
        </w:rPr>
        <w:t xml:space="preserve"> </w:t>
      </w:r>
      <w:r w:rsidR="007F0968">
        <w:rPr>
          <w:sz w:val="24"/>
          <w:szCs w:val="40"/>
        </w:rPr>
        <w:t xml:space="preserve">from </w:t>
      </w:r>
      <w:r w:rsidR="003A3497">
        <w:rPr>
          <w:sz w:val="24"/>
          <w:szCs w:val="40"/>
        </w:rPr>
        <w:t>page 3</w:t>
      </w:r>
      <w:r w:rsidR="000B048B">
        <w:rPr>
          <w:sz w:val="24"/>
          <w:szCs w:val="40"/>
        </w:rPr>
        <w:t xml:space="preserve"> </w:t>
      </w:r>
      <w:r w:rsidR="007F0968">
        <w:rPr>
          <w:sz w:val="24"/>
          <w:szCs w:val="40"/>
        </w:rPr>
        <w:t>onwards</w:t>
      </w:r>
      <w:r w:rsidR="003A3497">
        <w:rPr>
          <w:sz w:val="24"/>
          <w:szCs w:val="40"/>
        </w:rPr>
        <w:t>) but stocks of single packs are limited so allocation will be on a first come, first served basis.</w:t>
      </w:r>
      <w:r w:rsidR="007319D6">
        <w:rPr>
          <w:sz w:val="24"/>
          <w:szCs w:val="40"/>
        </w:rPr>
        <w:t xml:space="preserve"> </w:t>
      </w:r>
      <w:r w:rsidR="007319D6" w:rsidRPr="007319D6">
        <w:rPr>
          <w:sz w:val="24"/>
          <w:szCs w:val="40"/>
        </w:rPr>
        <w:t xml:space="preserve">We suggest that you ask your flu </w:t>
      </w:r>
      <w:r w:rsidR="009D0996">
        <w:rPr>
          <w:sz w:val="24"/>
          <w:szCs w:val="40"/>
        </w:rPr>
        <w:t xml:space="preserve">vaccine </w:t>
      </w:r>
      <w:r w:rsidR="007319D6" w:rsidRPr="007319D6">
        <w:rPr>
          <w:sz w:val="24"/>
          <w:szCs w:val="40"/>
        </w:rPr>
        <w:t>supplier for the earliest date that you can receive deliveries (ask about single packs) and start your clinics as early as possible if you are concerned about competition from pharmacies.</w:t>
      </w:r>
    </w:p>
    <w:p w:rsidR="003A3497" w:rsidRDefault="003A3497" w:rsidP="00201E98">
      <w:pPr>
        <w:pStyle w:val="NoSpacing"/>
        <w:rPr>
          <w:sz w:val="24"/>
          <w:szCs w:val="40"/>
        </w:rPr>
      </w:pPr>
    </w:p>
    <w:p w:rsidR="00D275A5" w:rsidRDefault="00D275A5" w:rsidP="00201E98">
      <w:pPr>
        <w:pStyle w:val="NoSpacing"/>
        <w:rPr>
          <w:sz w:val="24"/>
          <w:szCs w:val="40"/>
        </w:rPr>
      </w:pPr>
      <w:r>
        <w:rPr>
          <w:sz w:val="24"/>
          <w:szCs w:val="40"/>
        </w:rPr>
        <w:t xml:space="preserve">If you have been provided with a quote by any vaccine </w:t>
      </w:r>
      <w:r w:rsidR="00DA5309">
        <w:rPr>
          <w:sz w:val="24"/>
          <w:szCs w:val="40"/>
        </w:rPr>
        <w:t>company,</w:t>
      </w:r>
      <w:r>
        <w:rPr>
          <w:sz w:val="24"/>
          <w:szCs w:val="40"/>
        </w:rPr>
        <w:t xml:space="preserve"> please make sure they are using the October 2017 dispensing fee</w:t>
      </w:r>
      <w:r w:rsidR="00DA5309">
        <w:rPr>
          <w:sz w:val="24"/>
          <w:szCs w:val="40"/>
        </w:rPr>
        <w:t xml:space="preserve"> </w:t>
      </w:r>
      <w:r>
        <w:rPr>
          <w:sz w:val="24"/>
          <w:szCs w:val="40"/>
        </w:rPr>
        <w:t xml:space="preserve">scales otherwise </w:t>
      </w:r>
      <w:r w:rsidR="006D4D0A">
        <w:rPr>
          <w:sz w:val="24"/>
          <w:szCs w:val="40"/>
        </w:rPr>
        <w:t>your</w:t>
      </w:r>
      <w:r>
        <w:rPr>
          <w:sz w:val="24"/>
          <w:szCs w:val="40"/>
        </w:rPr>
        <w:t xml:space="preserve"> quote will be 20p </w:t>
      </w:r>
      <w:r w:rsidR="00DA5309">
        <w:rPr>
          <w:sz w:val="24"/>
          <w:szCs w:val="40"/>
        </w:rPr>
        <w:t>a dose out</w:t>
      </w:r>
      <w:r w:rsidR="006D4D0A">
        <w:rPr>
          <w:sz w:val="24"/>
          <w:szCs w:val="40"/>
        </w:rPr>
        <w:t xml:space="preserve"> as the fees have dropped by this much</w:t>
      </w:r>
      <w:r w:rsidR="00535AA8">
        <w:rPr>
          <w:sz w:val="24"/>
          <w:szCs w:val="40"/>
        </w:rPr>
        <w:t xml:space="preserve"> since last year</w:t>
      </w:r>
      <w:r w:rsidR="00DA5309">
        <w:rPr>
          <w:sz w:val="24"/>
          <w:szCs w:val="40"/>
        </w:rPr>
        <w:t xml:space="preserve">. </w:t>
      </w:r>
      <w:r w:rsidR="00535AA8">
        <w:rPr>
          <w:sz w:val="24"/>
          <w:szCs w:val="40"/>
        </w:rPr>
        <w:t>The d</w:t>
      </w:r>
      <w:r w:rsidR="00DA5309">
        <w:rPr>
          <w:sz w:val="24"/>
          <w:szCs w:val="40"/>
        </w:rPr>
        <w:t>ispensing fee scales are attached</w:t>
      </w:r>
      <w:r w:rsidR="006D4D0A">
        <w:rPr>
          <w:sz w:val="24"/>
          <w:szCs w:val="40"/>
        </w:rPr>
        <w:t xml:space="preserve"> but</w:t>
      </w:r>
      <w:r w:rsidR="009D0996">
        <w:rPr>
          <w:sz w:val="24"/>
          <w:szCs w:val="40"/>
        </w:rPr>
        <w:t xml:space="preserve"> if you have any questions about how to calculate PPD then please contact us</w:t>
      </w:r>
      <w:r w:rsidR="00DA5309">
        <w:rPr>
          <w:sz w:val="24"/>
          <w:szCs w:val="40"/>
        </w:rPr>
        <w:t>.</w:t>
      </w:r>
    </w:p>
    <w:p w:rsidR="009F4847" w:rsidRDefault="009F4847" w:rsidP="00201E98">
      <w:pPr>
        <w:pStyle w:val="NoSpacing"/>
        <w:rPr>
          <w:sz w:val="24"/>
          <w:szCs w:val="40"/>
        </w:rPr>
      </w:pPr>
    </w:p>
    <w:p w:rsidR="00201E98" w:rsidRDefault="009F4847" w:rsidP="00AE2E40">
      <w:pPr>
        <w:pStyle w:val="NoSpacing"/>
        <w:rPr>
          <w:sz w:val="24"/>
          <w:szCs w:val="40"/>
        </w:rPr>
      </w:pPr>
      <w:r>
        <w:rPr>
          <w:sz w:val="24"/>
          <w:szCs w:val="40"/>
        </w:rPr>
        <w:t xml:space="preserve">We have outlined the main </w:t>
      </w:r>
      <w:r w:rsidR="00AE2E40">
        <w:rPr>
          <w:sz w:val="24"/>
          <w:szCs w:val="40"/>
        </w:rPr>
        <w:t xml:space="preserve">offers </w:t>
      </w:r>
      <w:r w:rsidR="008D6F87">
        <w:rPr>
          <w:sz w:val="24"/>
          <w:szCs w:val="40"/>
        </w:rPr>
        <w:t xml:space="preserve">available </w:t>
      </w:r>
      <w:r w:rsidR="006D4D0A">
        <w:rPr>
          <w:sz w:val="24"/>
          <w:szCs w:val="40"/>
        </w:rPr>
        <w:t xml:space="preserve">to our members </w:t>
      </w:r>
      <w:r w:rsidR="008D6F87">
        <w:rPr>
          <w:sz w:val="24"/>
          <w:szCs w:val="40"/>
        </w:rPr>
        <w:t xml:space="preserve">before Christmas </w:t>
      </w:r>
      <w:r w:rsidR="00AE2E40">
        <w:rPr>
          <w:sz w:val="24"/>
          <w:szCs w:val="40"/>
        </w:rPr>
        <w:t xml:space="preserve">below but for a more detailed breakdown </w:t>
      </w:r>
      <w:r w:rsidR="008D6F87">
        <w:rPr>
          <w:sz w:val="24"/>
          <w:szCs w:val="40"/>
        </w:rPr>
        <w:t xml:space="preserve">of all the offers </w:t>
      </w:r>
      <w:r w:rsidR="00AE2E40">
        <w:rPr>
          <w:sz w:val="24"/>
          <w:szCs w:val="40"/>
        </w:rPr>
        <w:t xml:space="preserve">we have produced separate tables for each supplier. </w:t>
      </w:r>
      <w:r>
        <w:rPr>
          <w:sz w:val="24"/>
          <w:szCs w:val="40"/>
        </w:rPr>
        <w:t xml:space="preserve"> </w:t>
      </w:r>
    </w:p>
    <w:p w:rsidR="00FB4211" w:rsidRPr="00572561" w:rsidRDefault="00FB4211" w:rsidP="00AE2E40">
      <w:pPr>
        <w:pStyle w:val="NoSpacing"/>
        <w:rPr>
          <w:b/>
          <w:sz w:val="24"/>
          <w:szCs w:val="40"/>
        </w:rPr>
      </w:pPr>
      <w:r w:rsidRPr="00572561">
        <w:rPr>
          <w:b/>
          <w:sz w:val="24"/>
          <w:szCs w:val="40"/>
        </w:rPr>
        <w:lastRenderedPageBreak/>
        <w:t>Trivalent Vaccines</w:t>
      </w:r>
    </w:p>
    <w:p w:rsidR="00FB4211" w:rsidRDefault="00FB4211" w:rsidP="00AE2E40">
      <w:pPr>
        <w:pStyle w:val="NoSpacing"/>
        <w:rPr>
          <w:sz w:val="24"/>
          <w:szCs w:val="40"/>
        </w:rPr>
      </w:pPr>
    </w:p>
    <w:tbl>
      <w:tblPr>
        <w:tblW w:w="0" w:type="auto"/>
        <w:tblCellMar>
          <w:left w:w="0" w:type="dxa"/>
          <w:right w:w="0" w:type="dxa"/>
        </w:tblCellMar>
        <w:tblLook w:val="04A0" w:firstRow="1" w:lastRow="0" w:firstColumn="1" w:lastColumn="0" w:noHBand="0" w:noVBand="1"/>
      </w:tblPr>
      <w:tblGrid>
        <w:gridCol w:w="1728"/>
        <w:gridCol w:w="1334"/>
        <w:gridCol w:w="1687"/>
        <w:gridCol w:w="1481"/>
        <w:gridCol w:w="1566"/>
      </w:tblGrid>
      <w:tr w:rsidR="00454CD2" w:rsidRPr="00454CD2" w:rsidTr="00454CD2">
        <w:tc>
          <w:tcPr>
            <w:tcW w:w="1728" w:type="dxa"/>
            <w:tcBorders>
              <w:top w:val="single" w:sz="8" w:space="0" w:color="auto"/>
              <w:left w:val="single" w:sz="8" w:space="0" w:color="auto"/>
              <w:bottom w:val="single" w:sz="8" w:space="0" w:color="auto"/>
              <w:right w:val="single" w:sz="4" w:space="0" w:color="auto"/>
            </w:tcBorders>
            <w:shd w:val="clear" w:color="auto" w:fill="7030A0"/>
            <w:tcMar>
              <w:top w:w="0" w:type="dxa"/>
              <w:left w:w="108" w:type="dxa"/>
              <w:bottom w:w="0" w:type="dxa"/>
              <w:right w:w="108" w:type="dxa"/>
            </w:tcMar>
            <w:hideMark/>
          </w:tcPr>
          <w:p w:rsidR="008D6F87" w:rsidRPr="00454CD2" w:rsidRDefault="008D6F87">
            <w:pPr>
              <w:rPr>
                <w:color w:val="FFFFFF" w:themeColor="background1"/>
                <w:sz w:val="24"/>
              </w:rPr>
            </w:pPr>
            <w:r w:rsidRPr="00454CD2">
              <w:rPr>
                <w:b/>
                <w:bCs/>
                <w:color w:val="FFFFFF" w:themeColor="background1"/>
                <w:sz w:val="24"/>
              </w:rPr>
              <w:t>Company</w:t>
            </w:r>
          </w:p>
        </w:tc>
        <w:tc>
          <w:tcPr>
            <w:tcW w:w="1334" w:type="dxa"/>
            <w:tcBorders>
              <w:top w:val="single" w:sz="4" w:space="0" w:color="auto"/>
              <w:left w:val="single" w:sz="4" w:space="0" w:color="auto"/>
              <w:bottom w:val="single" w:sz="4" w:space="0" w:color="auto"/>
              <w:right w:val="single" w:sz="4" w:space="0" w:color="auto"/>
            </w:tcBorders>
            <w:shd w:val="clear" w:color="auto" w:fill="7030A0"/>
          </w:tcPr>
          <w:p w:rsidR="008D6F87" w:rsidRPr="00454CD2" w:rsidRDefault="008D6F87">
            <w:pPr>
              <w:rPr>
                <w:b/>
                <w:bCs/>
                <w:color w:val="FFFFFF" w:themeColor="background1"/>
                <w:sz w:val="24"/>
              </w:rPr>
            </w:pPr>
            <w:r w:rsidRPr="00454CD2">
              <w:rPr>
                <w:b/>
                <w:bCs/>
                <w:color w:val="FFFFFF" w:themeColor="background1"/>
                <w:sz w:val="24"/>
              </w:rPr>
              <w:t>NHS Price</w:t>
            </w:r>
          </w:p>
        </w:tc>
        <w:tc>
          <w:tcPr>
            <w:tcW w:w="1687" w:type="dxa"/>
            <w:tcBorders>
              <w:top w:val="single" w:sz="8" w:space="0" w:color="auto"/>
              <w:left w:val="single" w:sz="4" w:space="0" w:color="auto"/>
              <w:bottom w:val="single" w:sz="8" w:space="0" w:color="auto"/>
              <w:right w:val="single" w:sz="8" w:space="0" w:color="auto"/>
            </w:tcBorders>
            <w:shd w:val="clear" w:color="auto" w:fill="7030A0"/>
            <w:tcMar>
              <w:top w:w="0" w:type="dxa"/>
              <w:left w:w="108" w:type="dxa"/>
              <w:bottom w:w="0" w:type="dxa"/>
              <w:right w:w="108" w:type="dxa"/>
            </w:tcMar>
            <w:hideMark/>
          </w:tcPr>
          <w:p w:rsidR="008D6F87" w:rsidRPr="00454CD2" w:rsidRDefault="008D6F87">
            <w:pPr>
              <w:rPr>
                <w:color w:val="FFFFFF" w:themeColor="background1"/>
                <w:sz w:val="24"/>
              </w:rPr>
            </w:pPr>
            <w:r w:rsidRPr="00454CD2">
              <w:rPr>
                <w:b/>
                <w:bCs/>
                <w:color w:val="FFFFFF" w:themeColor="background1"/>
                <w:sz w:val="24"/>
              </w:rPr>
              <w:t>Discount off NHS Price</w:t>
            </w:r>
          </w:p>
        </w:tc>
        <w:tc>
          <w:tcPr>
            <w:tcW w:w="1481" w:type="dxa"/>
            <w:tcBorders>
              <w:top w:val="single" w:sz="8" w:space="0" w:color="auto"/>
              <w:left w:val="nil"/>
              <w:bottom w:val="single" w:sz="8" w:space="0" w:color="auto"/>
              <w:right w:val="single" w:sz="8" w:space="0" w:color="auto"/>
            </w:tcBorders>
            <w:shd w:val="clear" w:color="auto" w:fill="7030A0"/>
            <w:tcMar>
              <w:top w:w="0" w:type="dxa"/>
              <w:left w:w="108" w:type="dxa"/>
              <w:bottom w:w="0" w:type="dxa"/>
              <w:right w:w="108" w:type="dxa"/>
            </w:tcMar>
            <w:hideMark/>
          </w:tcPr>
          <w:p w:rsidR="008D6F87" w:rsidRPr="00454CD2" w:rsidRDefault="008D6F87">
            <w:pPr>
              <w:rPr>
                <w:color w:val="FFFFFF" w:themeColor="background1"/>
                <w:sz w:val="24"/>
              </w:rPr>
            </w:pPr>
            <w:r w:rsidRPr="00454CD2">
              <w:rPr>
                <w:b/>
                <w:bCs/>
                <w:color w:val="FFFFFF" w:themeColor="background1"/>
                <w:sz w:val="24"/>
              </w:rPr>
              <w:t>PPD</w:t>
            </w:r>
          </w:p>
        </w:tc>
        <w:tc>
          <w:tcPr>
            <w:tcW w:w="1566" w:type="dxa"/>
            <w:tcBorders>
              <w:top w:val="single" w:sz="8" w:space="0" w:color="auto"/>
              <w:left w:val="nil"/>
              <w:bottom w:val="single" w:sz="8" w:space="0" w:color="auto"/>
              <w:right w:val="single" w:sz="8" w:space="0" w:color="auto"/>
            </w:tcBorders>
            <w:shd w:val="clear" w:color="auto" w:fill="7030A0"/>
            <w:tcMar>
              <w:top w:w="0" w:type="dxa"/>
              <w:left w:w="108" w:type="dxa"/>
              <w:bottom w:w="0" w:type="dxa"/>
              <w:right w:w="108" w:type="dxa"/>
            </w:tcMar>
            <w:hideMark/>
          </w:tcPr>
          <w:p w:rsidR="008D6F87" w:rsidRPr="00454CD2" w:rsidRDefault="008D6F87">
            <w:pPr>
              <w:rPr>
                <w:color w:val="FFFFFF" w:themeColor="background1"/>
                <w:sz w:val="24"/>
              </w:rPr>
            </w:pPr>
            <w:r w:rsidRPr="00454CD2">
              <w:rPr>
                <w:b/>
                <w:bCs/>
                <w:color w:val="FFFFFF" w:themeColor="background1"/>
                <w:sz w:val="24"/>
              </w:rPr>
              <w:t>Sale or Return</w:t>
            </w:r>
          </w:p>
        </w:tc>
      </w:tr>
      <w:tr w:rsidR="008D6F87" w:rsidRPr="00454CD2" w:rsidTr="00200E34">
        <w:tc>
          <w:tcPr>
            <w:tcW w:w="1728"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8D6F87" w:rsidRPr="00454CD2" w:rsidRDefault="008D6F87">
            <w:pPr>
              <w:rPr>
                <w:sz w:val="24"/>
              </w:rPr>
            </w:pPr>
            <w:r w:rsidRPr="00454CD2">
              <w:rPr>
                <w:sz w:val="24"/>
              </w:rPr>
              <w:t>Pfizer</w:t>
            </w:r>
          </w:p>
        </w:tc>
        <w:tc>
          <w:tcPr>
            <w:tcW w:w="1334" w:type="dxa"/>
            <w:tcBorders>
              <w:top w:val="single" w:sz="4" w:space="0" w:color="auto"/>
              <w:left w:val="single" w:sz="4" w:space="0" w:color="auto"/>
              <w:bottom w:val="single" w:sz="4" w:space="0" w:color="auto"/>
              <w:right w:val="single" w:sz="4" w:space="0" w:color="auto"/>
            </w:tcBorders>
          </w:tcPr>
          <w:p w:rsidR="008D6F87" w:rsidRPr="00454CD2" w:rsidRDefault="008D6F87">
            <w:pPr>
              <w:rPr>
                <w:sz w:val="24"/>
              </w:rPr>
            </w:pPr>
            <w:r w:rsidRPr="00454CD2">
              <w:rPr>
                <w:sz w:val="24"/>
              </w:rPr>
              <w:t>£6.59</w:t>
            </w:r>
          </w:p>
        </w:tc>
        <w:tc>
          <w:tcPr>
            <w:tcW w:w="1687"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8D6F87" w:rsidRPr="00454CD2" w:rsidRDefault="008D6F87">
            <w:pPr>
              <w:rPr>
                <w:sz w:val="24"/>
              </w:rPr>
            </w:pPr>
            <w:r w:rsidRPr="00454CD2">
              <w:rPr>
                <w:sz w:val="24"/>
              </w:rPr>
              <w:t>61.5%</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rsidR="008D6F87" w:rsidRPr="00454CD2" w:rsidRDefault="008D6F87">
            <w:pPr>
              <w:rPr>
                <w:sz w:val="24"/>
              </w:rPr>
            </w:pPr>
            <w:r w:rsidRPr="00454CD2">
              <w:rPr>
                <w:sz w:val="24"/>
              </w:rPr>
              <w:t>£7.07</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8D6F87" w:rsidRPr="00454CD2" w:rsidRDefault="008D6F87">
            <w:pPr>
              <w:rPr>
                <w:sz w:val="24"/>
              </w:rPr>
            </w:pPr>
            <w:r w:rsidRPr="00454CD2">
              <w:rPr>
                <w:sz w:val="24"/>
              </w:rPr>
              <w:t>20%</w:t>
            </w:r>
          </w:p>
        </w:tc>
      </w:tr>
      <w:tr w:rsidR="008D6F87" w:rsidRPr="00454CD2" w:rsidTr="00200E34">
        <w:tc>
          <w:tcPr>
            <w:tcW w:w="1728"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8D6F87" w:rsidRPr="00454CD2" w:rsidRDefault="008D6F87">
            <w:pPr>
              <w:rPr>
                <w:sz w:val="24"/>
              </w:rPr>
            </w:pPr>
            <w:r w:rsidRPr="00454CD2">
              <w:rPr>
                <w:sz w:val="24"/>
              </w:rPr>
              <w:t>Seqirus</w:t>
            </w:r>
          </w:p>
        </w:tc>
        <w:tc>
          <w:tcPr>
            <w:tcW w:w="1334" w:type="dxa"/>
            <w:tcBorders>
              <w:top w:val="single" w:sz="4" w:space="0" w:color="auto"/>
              <w:left w:val="single" w:sz="4" w:space="0" w:color="auto"/>
              <w:bottom w:val="single" w:sz="4" w:space="0" w:color="auto"/>
              <w:right w:val="single" w:sz="4" w:space="0" w:color="auto"/>
            </w:tcBorders>
          </w:tcPr>
          <w:p w:rsidR="008D6F87" w:rsidRPr="00454CD2" w:rsidRDefault="008D6F87">
            <w:pPr>
              <w:rPr>
                <w:sz w:val="24"/>
              </w:rPr>
            </w:pPr>
            <w:r w:rsidRPr="00454CD2">
              <w:rPr>
                <w:sz w:val="24"/>
              </w:rPr>
              <w:t>£6.59</w:t>
            </w:r>
          </w:p>
        </w:tc>
        <w:tc>
          <w:tcPr>
            <w:tcW w:w="1687"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8D6F87" w:rsidRPr="00454CD2" w:rsidRDefault="008D6F87">
            <w:pPr>
              <w:rPr>
                <w:sz w:val="24"/>
              </w:rPr>
            </w:pPr>
            <w:r w:rsidRPr="00454CD2">
              <w:rPr>
                <w:sz w:val="24"/>
              </w:rPr>
              <w:t>61.2%</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rsidR="008D6F87" w:rsidRPr="00454CD2" w:rsidRDefault="008D6F87">
            <w:pPr>
              <w:rPr>
                <w:sz w:val="24"/>
              </w:rPr>
            </w:pPr>
            <w:r w:rsidRPr="00454CD2">
              <w:rPr>
                <w:sz w:val="24"/>
              </w:rPr>
              <w:t>£7.05</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8D6F87" w:rsidRPr="00454CD2" w:rsidRDefault="008D6F87">
            <w:pPr>
              <w:rPr>
                <w:sz w:val="24"/>
              </w:rPr>
            </w:pPr>
            <w:r w:rsidRPr="00454CD2">
              <w:rPr>
                <w:sz w:val="24"/>
              </w:rPr>
              <w:t>20%</w:t>
            </w:r>
          </w:p>
        </w:tc>
      </w:tr>
      <w:tr w:rsidR="008D6F87" w:rsidRPr="00454CD2" w:rsidTr="00200E34">
        <w:tc>
          <w:tcPr>
            <w:tcW w:w="1728"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8D6F87" w:rsidRPr="00454CD2" w:rsidRDefault="008D6F87">
            <w:pPr>
              <w:rPr>
                <w:sz w:val="24"/>
              </w:rPr>
            </w:pPr>
            <w:r w:rsidRPr="00454CD2">
              <w:rPr>
                <w:sz w:val="24"/>
              </w:rPr>
              <w:t>Mylan</w:t>
            </w:r>
          </w:p>
        </w:tc>
        <w:tc>
          <w:tcPr>
            <w:tcW w:w="1334" w:type="dxa"/>
            <w:tcBorders>
              <w:top w:val="single" w:sz="4" w:space="0" w:color="auto"/>
              <w:left w:val="single" w:sz="4" w:space="0" w:color="auto"/>
              <w:bottom w:val="single" w:sz="4" w:space="0" w:color="auto"/>
              <w:right w:val="single" w:sz="4" w:space="0" w:color="auto"/>
            </w:tcBorders>
          </w:tcPr>
          <w:p w:rsidR="008D6F87" w:rsidRPr="00454CD2" w:rsidRDefault="008D6F87">
            <w:pPr>
              <w:rPr>
                <w:sz w:val="24"/>
              </w:rPr>
            </w:pPr>
            <w:r w:rsidRPr="00454CD2">
              <w:rPr>
                <w:sz w:val="24"/>
              </w:rPr>
              <w:t>£6.59</w:t>
            </w:r>
          </w:p>
        </w:tc>
        <w:tc>
          <w:tcPr>
            <w:tcW w:w="1687"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8D6F87" w:rsidRPr="00454CD2" w:rsidRDefault="008D6F87">
            <w:pPr>
              <w:rPr>
                <w:sz w:val="24"/>
              </w:rPr>
            </w:pPr>
            <w:r w:rsidRPr="00454CD2">
              <w:rPr>
                <w:sz w:val="24"/>
              </w:rPr>
              <w:t>60%</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rsidR="008D6F87" w:rsidRPr="00454CD2" w:rsidRDefault="008D6F87">
            <w:pPr>
              <w:rPr>
                <w:sz w:val="24"/>
              </w:rPr>
            </w:pPr>
            <w:r w:rsidRPr="00454CD2">
              <w:rPr>
                <w:sz w:val="24"/>
              </w:rPr>
              <w:t>£6.95</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8D6F87" w:rsidRPr="00454CD2" w:rsidRDefault="008C300F">
            <w:pPr>
              <w:rPr>
                <w:sz w:val="24"/>
              </w:rPr>
            </w:pPr>
            <w:r>
              <w:rPr>
                <w:sz w:val="24"/>
              </w:rPr>
              <w:t>2</w:t>
            </w:r>
            <w:r w:rsidR="008D6F87" w:rsidRPr="00454CD2">
              <w:rPr>
                <w:sz w:val="24"/>
              </w:rPr>
              <w:t>0%</w:t>
            </w:r>
          </w:p>
        </w:tc>
      </w:tr>
      <w:tr w:rsidR="008D6F87" w:rsidRPr="00454CD2" w:rsidTr="00200E34">
        <w:tc>
          <w:tcPr>
            <w:tcW w:w="1728" w:type="dxa"/>
            <w:tcBorders>
              <w:top w:val="nil"/>
              <w:left w:val="single" w:sz="8" w:space="0" w:color="auto"/>
              <w:bottom w:val="single" w:sz="4" w:space="0" w:color="auto"/>
              <w:right w:val="single" w:sz="4" w:space="0" w:color="auto"/>
            </w:tcBorders>
            <w:tcMar>
              <w:top w:w="0" w:type="dxa"/>
              <w:left w:w="108" w:type="dxa"/>
              <w:bottom w:w="0" w:type="dxa"/>
              <w:right w:w="108" w:type="dxa"/>
            </w:tcMar>
            <w:hideMark/>
          </w:tcPr>
          <w:p w:rsidR="008D6F87" w:rsidRPr="00454CD2" w:rsidRDefault="008D6F87">
            <w:pPr>
              <w:rPr>
                <w:sz w:val="24"/>
              </w:rPr>
            </w:pPr>
            <w:r w:rsidRPr="00454CD2">
              <w:rPr>
                <w:sz w:val="24"/>
              </w:rPr>
              <w:t>MASTA</w:t>
            </w:r>
          </w:p>
        </w:tc>
        <w:tc>
          <w:tcPr>
            <w:tcW w:w="1334" w:type="dxa"/>
            <w:tcBorders>
              <w:top w:val="single" w:sz="4" w:space="0" w:color="auto"/>
              <w:left w:val="single" w:sz="4" w:space="0" w:color="auto"/>
              <w:bottom w:val="single" w:sz="4" w:space="0" w:color="auto"/>
              <w:right w:val="single" w:sz="4" w:space="0" w:color="auto"/>
            </w:tcBorders>
          </w:tcPr>
          <w:p w:rsidR="008D6F87" w:rsidRPr="00454CD2" w:rsidRDefault="008D6F87">
            <w:pPr>
              <w:rPr>
                <w:sz w:val="24"/>
              </w:rPr>
            </w:pPr>
            <w:r w:rsidRPr="00454CD2">
              <w:rPr>
                <w:sz w:val="24"/>
              </w:rPr>
              <w:t>£6.59</w:t>
            </w:r>
          </w:p>
        </w:tc>
        <w:tc>
          <w:tcPr>
            <w:tcW w:w="1687" w:type="dxa"/>
            <w:tcBorders>
              <w:top w:val="nil"/>
              <w:left w:val="single" w:sz="4" w:space="0" w:color="auto"/>
              <w:bottom w:val="single" w:sz="4" w:space="0" w:color="auto"/>
              <w:right w:val="single" w:sz="8" w:space="0" w:color="auto"/>
            </w:tcBorders>
            <w:tcMar>
              <w:top w:w="0" w:type="dxa"/>
              <w:left w:w="108" w:type="dxa"/>
              <w:bottom w:w="0" w:type="dxa"/>
              <w:right w:w="108" w:type="dxa"/>
            </w:tcMar>
            <w:hideMark/>
          </w:tcPr>
          <w:p w:rsidR="008D6F87" w:rsidRPr="00454CD2" w:rsidRDefault="008D6F87">
            <w:pPr>
              <w:rPr>
                <w:sz w:val="24"/>
              </w:rPr>
            </w:pPr>
            <w:r w:rsidRPr="00454CD2">
              <w:rPr>
                <w:sz w:val="24"/>
              </w:rPr>
              <w:t>56</w:t>
            </w:r>
            <w:r w:rsidR="00AA73E5">
              <w:rPr>
                <w:sz w:val="24"/>
              </w:rPr>
              <w:t>.8</w:t>
            </w:r>
            <w:r w:rsidRPr="00454CD2">
              <w:rPr>
                <w:sz w:val="24"/>
              </w:rPr>
              <w:t>%</w:t>
            </w:r>
          </w:p>
        </w:tc>
        <w:tc>
          <w:tcPr>
            <w:tcW w:w="1481" w:type="dxa"/>
            <w:tcBorders>
              <w:top w:val="nil"/>
              <w:left w:val="nil"/>
              <w:bottom w:val="single" w:sz="4" w:space="0" w:color="auto"/>
              <w:right w:val="single" w:sz="8" w:space="0" w:color="auto"/>
            </w:tcBorders>
            <w:tcMar>
              <w:top w:w="0" w:type="dxa"/>
              <w:left w:w="108" w:type="dxa"/>
              <w:bottom w:w="0" w:type="dxa"/>
              <w:right w:w="108" w:type="dxa"/>
            </w:tcMar>
            <w:hideMark/>
          </w:tcPr>
          <w:p w:rsidR="008D6F87" w:rsidRPr="00454CD2" w:rsidRDefault="008D6F87">
            <w:pPr>
              <w:rPr>
                <w:sz w:val="24"/>
              </w:rPr>
            </w:pPr>
            <w:r w:rsidRPr="00454CD2">
              <w:rPr>
                <w:sz w:val="24"/>
              </w:rPr>
              <w:t>£6.</w:t>
            </w:r>
            <w:r w:rsidR="00AA73E5">
              <w:rPr>
                <w:sz w:val="24"/>
              </w:rPr>
              <w:t>70</w:t>
            </w:r>
          </w:p>
        </w:tc>
        <w:tc>
          <w:tcPr>
            <w:tcW w:w="1566" w:type="dxa"/>
            <w:tcBorders>
              <w:top w:val="nil"/>
              <w:left w:val="nil"/>
              <w:bottom w:val="single" w:sz="4" w:space="0" w:color="auto"/>
              <w:right w:val="single" w:sz="8" w:space="0" w:color="auto"/>
            </w:tcBorders>
            <w:tcMar>
              <w:top w:w="0" w:type="dxa"/>
              <w:left w:w="108" w:type="dxa"/>
              <w:bottom w:w="0" w:type="dxa"/>
              <w:right w:w="108" w:type="dxa"/>
            </w:tcMar>
            <w:hideMark/>
          </w:tcPr>
          <w:p w:rsidR="008D6F87" w:rsidRPr="00454CD2" w:rsidRDefault="008D6F87">
            <w:pPr>
              <w:rPr>
                <w:sz w:val="24"/>
              </w:rPr>
            </w:pPr>
            <w:r w:rsidRPr="00454CD2">
              <w:rPr>
                <w:sz w:val="24"/>
              </w:rPr>
              <w:t>20%</w:t>
            </w:r>
          </w:p>
        </w:tc>
      </w:tr>
    </w:tbl>
    <w:p w:rsidR="00572561" w:rsidRDefault="00572561" w:rsidP="00AE2E40">
      <w:pPr>
        <w:pStyle w:val="NoSpacing"/>
        <w:rPr>
          <w:sz w:val="24"/>
          <w:szCs w:val="40"/>
        </w:rPr>
      </w:pPr>
    </w:p>
    <w:p w:rsidR="008D6F87" w:rsidRPr="008D6F87" w:rsidRDefault="008D6F87" w:rsidP="00AE2E40">
      <w:pPr>
        <w:pStyle w:val="NoSpacing"/>
        <w:rPr>
          <w:b/>
          <w:sz w:val="24"/>
          <w:szCs w:val="40"/>
        </w:rPr>
      </w:pPr>
      <w:r w:rsidRPr="008D6F87">
        <w:rPr>
          <w:b/>
          <w:sz w:val="24"/>
          <w:szCs w:val="40"/>
        </w:rPr>
        <w:t>Adjuvanted Trivalent</w:t>
      </w:r>
    </w:p>
    <w:p w:rsidR="00FB4211" w:rsidRPr="008D6F87" w:rsidRDefault="00FB4211" w:rsidP="00AE2E40">
      <w:pPr>
        <w:pStyle w:val="NoSpacing"/>
        <w:rPr>
          <w:i/>
          <w:sz w:val="24"/>
          <w:szCs w:val="40"/>
        </w:rPr>
      </w:pPr>
    </w:p>
    <w:p w:rsidR="008D6F87" w:rsidRPr="008D6F87" w:rsidRDefault="008D6F87" w:rsidP="00AE2E40">
      <w:pPr>
        <w:pStyle w:val="NoSpacing"/>
        <w:rPr>
          <w:i/>
          <w:sz w:val="24"/>
          <w:szCs w:val="40"/>
        </w:rPr>
      </w:pPr>
      <w:r w:rsidRPr="008D6F87">
        <w:rPr>
          <w:i/>
          <w:sz w:val="24"/>
          <w:szCs w:val="40"/>
        </w:rPr>
        <w:t>This vaccine is only licensed for use in patients over 65 and is the only adjuvanted inactivated surface antigen trivalent seasonal flu to be made available in the UK.</w:t>
      </w:r>
    </w:p>
    <w:p w:rsidR="008D6F87" w:rsidRDefault="008D6F87" w:rsidP="00AE2E40">
      <w:pPr>
        <w:pStyle w:val="NoSpacing"/>
        <w:rPr>
          <w:sz w:val="24"/>
          <w:szCs w:val="40"/>
        </w:rPr>
      </w:pPr>
    </w:p>
    <w:tbl>
      <w:tblPr>
        <w:tblW w:w="0" w:type="auto"/>
        <w:tblCellMar>
          <w:left w:w="0" w:type="dxa"/>
          <w:right w:w="0" w:type="dxa"/>
        </w:tblCellMar>
        <w:tblLook w:val="04A0" w:firstRow="1" w:lastRow="0" w:firstColumn="1" w:lastColumn="0" w:noHBand="0" w:noVBand="1"/>
      </w:tblPr>
      <w:tblGrid>
        <w:gridCol w:w="2030"/>
        <w:gridCol w:w="1334"/>
        <w:gridCol w:w="1687"/>
        <w:gridCol w:w="1481"/>
        <w:gridCol w:w="1566"/>
      </w:tblGrid>
      <w:tr w:rsidR="00454CD2" w:rsidRPr="00454CD2" w:rsidTr="00454CD2">
        <w:tc>
          <w:tcPr>
            <w:tcW w:w="1728" w:type="dxa"/>
            <w:tcBorders>
              <w:top w:val="single" w:sz="8" w:space="0" w:color="auto"/>
              <w:left w:val="single" w:sz="8" w:space="0" w:color="auto"/>
              <w:bottom w:val="single" w:sz="8" w:space="0" w:color="auto"/>
              <w:right w:val="single" w:sz="4" w:space="0" w:color="auto"/>
            </w:tcBorders>
            <w:shd w:val="clear" w:color="auto" w:fill="7030A0"/>
            <w:tcMar>
              <w:top w:w="0" w:type="dxa"/>
              <w:left w:w="108" w:type="dxa"/>
              <w:bottom w:w="0" w:type="dxa"/>
              <w:right w:w="108" w:type="dxa"/>
            </w:tcMar>
            <w:hideMark/>
          </w:tcPr>
          <w:p w:rsidR="008D6F87" w:rsidRPr="00454CD2" w:rsidRDefault="008D6F87" w:rsidP="002B7BE5">
            <w:pPr>
              <w:rPr>
                <w:color w:val="FFFFFF" w:themeColor="background1"/>
                <w:sz w:val="24"/>
              </w:rPr>
            </w:pPr>
            <w:r w:rsidRPr="00454CD2">
              <w:rPr>
                <w:b/>
                <w:bCs/>
                <w:color w:val="FFFFFF" w:themeColor="background1"/>
                <w:sz w:val="24"/>
              </w:rPr>
              <w:t>Company</w:t>
            </w:r>
            <w:r w:rsidR="00C87121" w:rsidRPr="00454CD2">
              <w:rPr>
                <w:b/>
                <w:bCs/>
                <w:color w:val="FFFFFF" w:themeColor="background1"/>
                <w:sz w:val="24"/>
              </w:rPr>
              <w:t>/Vaccine</w:t>
            </w:r>
          </w:p>
        </w:tc>
        <w:tc>
          <w:tcPr>
            <w:tcW w:w="1334" w:type="dxa"/>
            <w:tcBorders>
              <w:top w:val="single" w:sz="4" w:space="0" w:color="auto"/>
              <w:left w:val="single" w:sz="4" w:space="0" w:color="auto"/>
              <w:bottom w:val="single" w:sz="4" w:space="0" w:color="auto"/>
              <w:right w:val="single" w:sz="4" w:space="0" w:color="auto"/>
            </w:tcBorders>
            <w:shd w:val="clear" w:color="auto" w:fill="7030A0"/>
          </w:tcPr>
          <w:p w:rsidR="008D6F87" w:rsidRPr="00454CD2" w:rsidRDefault="008D6F87" w:rsidP="002B7BE5">
            <w:pPr>
              <w:rPr>
                <w:b/>
                <w:bCs/>
                <w:color w:val="FFFFFF" w:themeColor="background1"/>
                <w:sz w:val="24"/>
              </w:rPr>
            </w:pPr>
            <w:r w:rsidRPr="00454CD2">
              <w:rPr>
                <w:b/>
                <w:bCs/>
                <w:color w:val="FFFFFF" w:themeColor="background1"/>
                <w:sz w:val="24"/>
              </w:rPr>
              <w:t>NHS Price</w:t>
            </w:r>
          </w:p>
        </w:tc>
        <w:tc>
          <w:tcPr>
            <w:tcW w:w="1687" w:type="dxa"/>
            <w:tcBorders>
              <w:top w:val="single" w:sz="8" w:space="0" w:color="auto"/>
              <w:left w:val="single" w:sz="4" w:space="0" w:color="auto"/>
              <w:bottom w:val="single" w:sz="8" w:space="0" w:color="auto"/>
              <w:right w:val="single" w:sz="8" w:space="0" w:color="auto"/>
            </w:tcBorders>
            <w:shd w:val="clear" w:color="auto" w:fill="7030A0"/>
            <w:tcMar>
              <w:top w:w="0" w:type="dxa"/>
              <w:left w:w="108" w:type="dxa"/>
              <w:bottom w:w="0" w:type="dxa"/>
              <w:right w:w="108" w:type="dxa"/>
            </w:tcMar>
            <w:hideMark/>
          </w:tcPr>
          <w:p w:rsidR="008D6F87" w:rsidRPr="00454CD2" w:rsidRDefault="008D6F87" w:rsidP="002B7BE5">
            <w:pPr>
              <w:rPr>
                <w:color w:val="FFFFFF" w:themeColor="background1"/>
                <w:sz w:val="24"/>
              </w:rPr>
            </w:pPr>
            <w:r w:rsidRPr="00454CD2">
              <w:rPr>
                <w:b/>
                <w:bCs/>
                <w:color w:val="FFFFFF" w:themeColor="background1"/>
                <w:sz w:val="24"/>
              </w:rPr>
              <w:t>Discount off NHS Price</w:t>
            </w:r>
          </w:p>
        </w:tc>
        <w:tc>
          <w:tcPr>
            <w:tcW w:w="1481" w:type="dxa"/>
            <w:tcBorders>
              <w:top w:val="single" w:sz="8" w:space="0" w:color="auto"/>
              <w:left w:val="nil"/>
              <w:bottom w:val="single" w:sz="8" w:space="0" w:color="auto"/>
              <w:right w:val="single" w:sz="8" w:space="0" w:color="auto"/>
            </w:tcBorders>
            <w:shd w:val="clear" w:color="auto" w:fill="7030A0"/>
            <w:tcMar>
              <w:top w:w="0" w:type="dxa"/>
              <w:left w:w="108" w:type="dxa"/>
              <w:bottom w:w="0" w:type="dxa"/>
              <w:right w:w="108" w:type="dxa"/>
            </w:tcMar>
            <w:hideMark/>
          </w:tcPr>
          <w:p w:rsidR="008D6F87" w:rsidRPr="00454CD2" w:rsidRDefault="008D6F87" w:rsidP="002B7BE5">
            <w:pPr>
              <w:rPr>
                <w:color w:val="FFFFFF" w:themeColor="background1"/>
                <w:sz w:val="24"/>
              </w:rPr>
            </w:pPr>
            <w:r w:rsidRPr="00454CD2">
              <w:rPr>
                <w:b/>
                <w:bCs/>
                <w:color w:val="FFFFFF" w:themeColor="background1"/>
                <w:sz w:val="24"/>
              </w:rPr>
              <w:t>PPD</w:t>
            </w:r>
          </w:p>
        </w:tc>
        <w:tc>
          <w:tcPr>
            <w:tcW w:w="1566" w:type="dxa"/>
            <w:tcBorders>
              <w:top w:val="single" w:sz="8" w:space="0" w:color="auto"/>
              <w:left w:val="nil"/>
              <w:bottom w:val="single" w:sz="8" w:space="0" w:color="auto"/>
              <w:right w:val="single" w:sz="8" w:space="0" w:color="auto"/>
            </w:tcBorders>
            <w:shd w:val="clear" w:color="auto" w:fill="7030A0"/>
            <w:tcMar>
              <w:top w:w="0" w:type="dxa"/>
              <w:left w:w="108" w:type="dxa"/>
              <w:bottom w:w="0" w:type="dxa"/>
              <w:right w:w="108" w:type="dxa"/>
            </w:tcMar>
            <w:hideMark/>
          </w:tcPr>
          <w:p w:rsidR="008D6F87" w:rsidRPr="00454CD2" w:rsidRDefault="008D6F87" w:rsidP="002B7BE5">
            <w:pPr>
              <w:rPr>
                <w:color w:val="FFFFFF" w:themeColor="background1"/>
                <w:sz w:val="24"/>
              </w:rPr>
            </w:pPr>
            <w:r w:rsidRPr="00454CD2">
              <w:rPr>
                <w:b/>
                <w:bCs/>
                <w:color w:val="FFFFFF" w:themeColor="background1"/>
                <w:sz w:val="24"/>
              </w:rPr>
              <w:t>Sale or Return</w:t>
            </w:r>
          </w:p>
        </w:tc>
      </w:tr>
      <w:tr w:rsidR="008D6F87" w:rsidRPr="00454CD2" w:rsidTr="002B7BE5">
        <w:tc>
          <w:tcPr>
            <w:tcW w:w="1728"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8D6F87" w:rsidRPr="00454CD2" w:rsidRDefault="008D6F87" w:rsidP="002B7BE5">
            <w:pPr>
              <w:rPr>
                <w:sz w:val="24"/>
              </w:rPr>
            </w:pPr>
            <w:r w:rsidRPr="00454CD2">
              <w:rPr>
                <w:sz w:val="24"/>
              </w:rPr>
              <w:t>Seqirus</w:t>
            </w:r>
            <w:r w:rsidR="00C87121" w:rsidRPr="00454CD2">
              <w:rPr>
                <w:sz w:val="24"/>
              </w:rPr>
              <w:t xml:space="preserve"> (F</w:t>
            </w:r>
            <w:r w:rsidR="00454CD2" w:rsidRPr="00454CD2">
              <w:rPr>
                <w:sz w:val="24"/>
              </w:rPr>
              <w:t>LUAD</w:t>
            </w:r>
            <w:r w:rsidR="00C87121" w:rsidRPr="00454CD2">
              <w:rPr>
                <w:sz w:val="24"/>
              </w:rPr>
              <w:t>)</w:t>
            </w:r>
          </w:p>
        </w:tc>
        <w:tc>
          <w:tcPr>
            <w:tcW w:w="1334" w:type="dxa"/>
            <w:tcBorders>
              <w:top w:val="single" w:sz="4" w:space="0" w:color="auto"/>
              <w:left w:val="single" w:sz="4" w:space="0" w:color="auto"/>
              <w:bottom w:val="single" w:sz="4" w:space="0" w:color="auto"/>
              <w:right w:val="single" w:sz="4" w:space="0" w:color="auto"/>
            </w:tcBorders>
          </w:tcPr>
          <w:p w:rsidR="008D6F87" w:rsidRPr="00454CD2" w:rsidRDefault="008D6F87" w:rsidP="002B7BE5">
            <w:pPr>
              <w:rPr>
                <w:sz w:val="24"/>
              </w:rPr>
            </w:pPr>
            <w:r w:rsidRPr="00454CD2">
              <w:rPr>
                <w:sz w:val="24"/>
              </w:rPr>
              <w:t>£9.79</w:t>
            </w:r>
          </w:p>
        </w:tc>
        <w:tc>
          <w:tcPr>
            <w:tcW w:w="1687"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8D6F87" w:rsidRPr="00454CD2" w:rsidRDefault="000A0DD3" w:rsidP="002B7BE5">
            <w:pPr>
              <w:rPr>
                <w:sz w:val="24"/>
              </w:rPr>
            </w:pPr>
            <w:r>
              <w:rPr>
                <w:sz w:val="24"/>
              </w:rPr>
              <w:t>40.3</w:t>
            </w:r>
            <w:r w:rsidR="008D6F87" w:rsidRPr="00454CD2">
              <w:rPr>
                <w:sz w:val="24"/>
              </w:rPr>
              <w:t>%</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rsidR="008D6F87" w:rsidRPr="00454CD2" w:rsidRDefault="008D6F87" w:rsidP="002B7BE5">
            <w:pPr>
              <w:rPr>
                <w:sz w:val="24"/>
              </w:rPr>
            </w:pPr>
            <w:r w:rsidRPr="00454CD2">
              <w:rPr>
                <w:sz w:val="24"/>
              </w:rPr>
              <w:t>£</w:t>
            </w:r>
            <w:r w:rsidR="000A0DD3">
              <w:rPr>
                <w:sz w:val="24"/>
              </w:rPr>
              <w:t>6.95</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8D6F87" w:rsidRPr="00454CD2" w:rsidRDefault="008D6F87" w:rsidP="002B7BE5">
            <w:pPr>
              <w:rPr>
                <w:sz w:val="24"/>
              </w:rPr>
            </w:pPr>
            <w:r w:rsidRPr="00454CD2">
              <w:rPr>
                <w:sz w:val="24"/>
              </w:rPr>
              <w:t>20%</w:t>
            </w:r>
          </w:p>
        </w:tc>
      </w:tr>
    </w:tbl>
    <w:p w:rsidR="00AE2E40" w:rsidRDefault="00AE2E40" w:rsidP="00AE2E40">
      <w:pPr>
        <w:pStyle w:val="NoSpacing"/>
        <w:rPr>
          <w:sz w:val="24"/>
          <w:szCs w:val="40"/>
        </w:rPr>
      </w:pPr>
    </w:p>
    <w:p w:rsidR="00AE2E40" w:rsidRPr="00454CD2" w:rsidRDefault="00C87121" w:rsidP="00AE2E40">
      <w:pPr>
        <w:pStyle w:val="NoSpacing"/>
        <w:rPr>
          <w:b/>
          <w:sz w:val="24"/>
        </w:rPr>
      </w:pPr>
      <w:r w:rsidRPr="00454CD2">
        <w:rPr>
          <w:b/>
          <w:sz w:val="24"/>
        </w:rPr>
        <w:t>Quadrivalent</w:t>
      </w:r>
    </w:p>
    <w:p w:rsidR="00C87121" w:rsidRDefault="00C87121" w:rsidP="00AE2E40">
      <w:pPr>
        <w:pStyle w:val="NoSpacing"/>
      </w:pPr>
    </w:p>
    <w:tbl>
      <w:tblPr>
        <w:tblW w:w="0" w:type="auto"/>
        <w:tblCellMar>
          <w:left w:w="0" w:type="dxa"/>
          <w:right w:w="0" w:type="dxa"/>
        </w:tblCellMar>
        <w:tblLook w:val="04A0" w:firstRow="1" w:lastRow="0" w:firstColumn="1" w:lastColumn="0" w:noHBand="0" w:noVBand="1"/>
      </w:tblPr>
      <w:tblGrid>
        <w:gridCol w:w="1975"/>
        <w:gridCol w:w="1417"/>
        <w:gridCol w:w="1701"/>
        <w:gridCol w:w="1418"/>
        <w:gridCol w:w="1559"/>
      </w:tblGrid>
      <w:tr w:rsidR="00454CD2" w:rsidRPr="00454CD2" w:rsidTr="00454CD2">
        <w:tc>
          <w:tcPr>
            <w:tcW w:w="1975" w:type="dxa"/>
            <w:tcBorders>
              <w:top w:val="single" w:sz="8" w:space="0" w:color="auto"/>
              <w:left w:val="single" w:sz="8" w:space="0" w:color="auto"/>
              <w:bottom w:val="single" w:sz="8" w:space="0" w:color="auto"/>
              <w:right w:val="single" w:sz="4" w:space="0" w:color="auto"/>
            </w:tcBorders>
            <w:shd w:val="clear" w:color="auto" w:fill="7030A0"/>
            <w:tcMar>
              <w:top w:w="0" w:type="dxa"/>
              <w:left w:w="108" w:type="dxa"/>
              <w:bottom w:w="0" w:type="dxa"/>
              <w:right w:w="108" w:type="dxa"/>
            </w:tcMar>
            <w:hideMark/>
          </w:tcPr>
          <w:p w:rsidR="00C87121" w:rsidRPr="00454CD2" w:rsidRDefault="00C87121" w:rsidP="002B7BE5">
            <w:pPr>
              <w:rPr>
                <w:color w:val="FFFFFF" w:themeColor="background1"/>
                <w:sz w:val="24"/>
              </w:rPr>
            </w:pPr>
            <w:r w:rsidRPr="00454CD2">
              <w:rPr>
                <w:b/>
                <w:bCs/>
                <w:color w:val="FFFFFF" w:themeColor="background1"/>
                <w:sz w:val="24"/>
              </w:rPr>
              <w:t>Company</w:t>
            </w:r>
          </w:p>
        </w:tc>
        <w:tc>
          <w:tcPr>
            <w:tcW w:w="1417" w:type="dxa"/>
            <w:tcBorders>
              <w:top w:val="single" w:sz="4" w:space="0" w:color="auto"/>
              <w:left w:val="single" w:sz="4" w:space="0" w:color="auto"/>
              <w:bottom w:val="single" w:sz="4" w:space="0" w:color="auto"/>
              <w:right w:val="single" w:sz="4" w:space="0" w:color="auto"/>
            </w:tcBorders>
            <w:shd w:val="clear" w:color="auto" w:fill="7030A0"/>
          </w:tcPr>
          <w:p w:rsidR="00C87121" w:rsidRPr="00454CD2" w:rsidRDefault="00C87121" w:rsidP="002B7BE5">
            <w:pPr>
              <w:rPr>
                <w:b/>
                <w:bCs/>
                <w:color w:val="FFFFFF" w:themeColor="background1"/>
                <w:sz w:val="24"/>
              </w:rPr>
            </w:pPr>
            <w:r w:rsidRPr="00454CD2">
              <w:rPr>
                <w:b/>
                <w:bCs/>
                <w:color w:val="FFFFFF" w:themeColor="background1"/>
                <w:sz w:val="24"/>
              </w:rPr>
              <w:t>NHS Price</w:t>
            </w:r>
          </w:p>
        </w:tc>
        <w:tc>
          <w:tcPr>
            <w:tcW w:w="1701" w:type="dxa"/>
            <w:tcBorders>
              <w:top w:val="single" w:sz="8" w:space="0" w:color="auto"/>
              <w:left w:val="single" w:sz="4" w:space="0" w:color="auto"/>
              <w:bottom w:val="single" w:sz="8" w:space="0" w:color="auto"/>
              <w:right w:val="single" w:sz="8" w:space="0" w:color="auto"/>
            </w:tcBorders>
            <w:shd w:val="clear" w:color="auto" w:fill="7030A0"/>
            <w:tcMar>
              <w:top w:w="0" w:type="dxa"/>
              <w:left w:w="108" w:type="dxa"/>
              <w:bottom w:w="0" w:type="dxa"/>
              <w:right w:w="108" w:type="dxa"/>
            </w:tcMar>
            <w:hideMark/>
          </w:tcPr>
          <w:p w:rsidR="00C87121" w:rsidRPr="00454CD2" w:rsidRDefault="00C87121" w:rsidP="002B7BE5">
            <w:pPr>
              <w:rPr>
                <w:color w:val="FFFFFF" w:themeColor="background1"/>
                <w:sz w:val="24"/>
              </w:rPr>
            </w:pPr>
            <w:r w:rsidRPr="00454CD2">
              <w:rPr>
                <w:b/>
                <w:bCs/>
                <w:color w:val="FFFFFF" w:themeColor="background1"/>
                <w:sz w:val="24"/>
              </w:rPr>
              <w:t>Discount off NHS Price</w:t>
            </w:r>
          </w:p>
        </w:tc>
        <w:tc>
          <w:tcPr>
            <w:tcW w:w="1418" w:type="dxa"/>
            <w:tcBorders>
              <w:top w:val="single" w:sz="8" w:space="0" w:color="auto"/>
              <w:left w:val="nil"/>
              <w:bottom w:val="single" w:sz="8" w:space="0" w:color="auto"/>
              <w:right w:val="single" w:sz="8" w:space="0" w:color="auto"/>
            </w:tcBorders>
            <w:shd w:val="clear" w:color="auto" w:fill="7030A0"/>
            <w:tcMar>
              <w:top w:w="0" w:type="dxa"/>
              <w:left w:w="108" w:type="dxa"/>
              <w:bottom w:w="0" w:type="dxa"/>
              <w:right w:w="108" w:type="dxa"/>
            </w:tcMar>
            <w:hideMark/>
          </w:tcPr>
          <w:p w:rsidR="00C87121" w:rsidRPr="00454CD2" w:rsidRDefault="00C87121" w:rsidP="002B7BE5">
            <w:pPr>
              <w:rPr>
                <w:color w:val="FFFFFF" w:themeColor="background1"/>
                <w:sz w:val="24"/>
              </w:rPr>
            </w:pPr>
            <w:r w:rsidRPr="00454CD2">
              <w:rPr>
                <w:b/>
                <w:bCs/>
                <w:color w:val="FFFFFF" w:themeColor="background1"/>
                <w:sz w:val="24"/>
              </w:rPr>
              <w:t>PPD</w:t>
            </w:r>
          </w:p>
        </w:tc>
        <w:tc>
          <w:tcPr>
            <w:tcW w:w="1559" w:type="dxa"/>
            <w:tcBorders>
              <w:top w:val="single" w:sz="8" w:space="0" w:color="auto"/>
              <w:left w:val="nil"/>
              <w:bottom w:val="single" w:sz="8" w:space="0" w:color="auto"/>
              <w:right w:val="single" w:sz="8" w:space="0" w:color="auto"/>
            </w:tcBorders>
            <w:shd w:val="clear" w:color="auto" w:fill="7030A0"/>
            <w:tcMar>
              <w:top w:w="0" w:type="dxa"/>
              <w:left w:w="108" w:type="dxa"/>
              <w:bottom w:w="0" w:type="dxa"/>
              <w:right w:w="108" w:type="dxa"/>
            </w:tcMar>
            <w:hideMark/>
          </w:tcPr>
          <w:p w:rsidR="00C87121" w:rsidRPr="00454CD2" w:rsidRDefault="00C87121" w:rsidP="002B7BE5">
            <w:pPr>
              <w:rPr>
                <w:color w:val="FFFFFF" w:themeColor="background1"/>
                <w:sz w:val="24"/>
              </w:rPr>
            </w:pPr>
            <w:r w:rsidRPr="00454CD2">
              <w:rPr>
                <w:b/>
                <w:bCs/>
                <w:color w:val="FFFFFF" w:themeColor="background1"/>
                <w:sz w:val="24"/>
              </w:rPr>
              <w:t>Sale or Return</w:t>
            </w:r>
          </w:p>
        </w:tc>
      </w:tr>
      <w:tr w:rsidR="00C87121" w:rsidRPr="00454CD2" w:rsidTr="00454CD2">
        <w:tc>
          <w:tcPr>
            <w:tcW w:w="1975"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C87121" w:rsidRPr="00454CD2" w:rsidRDefault="00C87121" w:rsidP="002B7BE5">
            <w:pPr>
              <w:rPr>
                <w:sz w:val="24"/>
              </w:rPr>
            </w:pPr>
            <w:r w:rsidRPr="00454CD2">
              <w:rPr>
                <w:sz w:val="24"/>
              </w:rPr>
              <w:t>Mylan</w:t>
            </w:r>
            <w:r w:rsidR="00454CD2" w:rsidRPr="00454CD2">
              <w:rPr>
                <w:sz w:val="24"/>
              </w:rPr>
              <w:t xml:space="preserve"> (Influvac QIV)</w:t>
            </w:r>
          </w:p>
        </w:tc>
        <w:tc>
          <w:tcPr>
            <w:tcW w:w="1417" w:type="dxa"/>
            <w:tcBorders>
              <w:top w:val="single" w:sz="4" w:space="0" w:color="auto"/>
              <w:left w:val="single" w:sz="4" w:space="0" w:color="auto"/>
              <w:bottom w:val="single" w:sz="4" w:space="0" w:color="auto"/>
              <w:right w:val="single" w:sz="4" w:space="0" w:color="auto"/>
            </w:tcBorders>
          </w:tcPr>
          <w:p w:rsidR="00C87121" w:rsidRPr="00454CD2" w:rsidRDefault="00C87121" w:rsidP="002B7BE5">
            <w:pPr>
              <w:rPr>
                <w:sz w:val="24"/>
              </w:rPr>
            </w:pPr>
            <w:r w:rsidRPr="00454CD2">
              <w:rPr>
                <w:sz w:val="24"/>
              </w:rPr>
              <w:t>£9.94</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C87121" w:rsidRPr="00454CD2" w:rsidRDefault="00C87121" w:rsidP="002B7BE5">
            <w:pPr>
              <w:rPr>
                <w:sz w:val="24"/>
              </w:rPr>
            </w:pPr>
            <w:r w:rsidRPr="00454CD2">
              <w:rPr>
                <w:sz w:val="24"/>
              </w:rPr>
              <w:t>50%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87121" w:rsidRPr="00454CD2" w:rsidRDefault="00C87121" w:rsidP="002B7BE5">
            <w:pPr>
              <w:rPr>
                <w:sz w:val="24"/>
              </w:rPr>
            </w:pPr>
            <w:r w:rsidRPr="00454CD2">
              <w:rPr>
                <w:sz w:val="24"/>
              </w:rPr>
              <w:t>£8.18</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87121" w:rsidRPr="00454CD2" w:rsidRDefault="00C87121" w:rsidP="002B7BE5">
            <w:pPr>
              <w:rPr>
                <w:sz w:val="24"/>
              </w:rPr>
            </w:pPr>
            <w:r w:rsidRPr="00454CD2">
              <w:rPr>
                <w:sz w:val="24"/>
              </w:rPr>
              <w:t>20%</w:t>
            </w:r>
          </w:p>
        </w:tc>
      </w:tr>
      <w:tr w:rsidR="00C87121" w:rsidRPr="00454CD2" w:rsidTr="00454CD2">
        <w:tc>
          <w:tcPr>
            <w:tcW w:w="1975" w:type="dxa"/>
            <w:tcBorders>
              <w:top w:val="nil"/>
              <w:left w:val="single" w:sz="8" w:space="0" w:color="auto"/>
              <w:bottom w:val="single" w:sz="4" w:space="0" w:color="auto"/>
              <w:right w:val="single" w:sz="4" w:space="0" w:color="auto"/>
            </w:tcBorders>
            <w:tcMar>
              <w:top w:w="0" w:type="dxa"/>
              <w:left w:w="108" w:type="dxa"/>
              <w:bottom w:w="0" w:type="dxa"/>
              <w:right w:w="108" w:type="dxa"/>
            </w:tcMar>
            <w:hideMark/>
          </w:tcPr>
          <w:p w:rsidR="00C87121" w:rsidRPr="00454CD2" w:rsidRDefault="00C87121" w:rsidP="002B7BE5">
            <w:pPr>
              <w:rPr>
                <w:sz w:val="24"/>
              </w:rPr>
            </w:pPr>
            <w:r w:rsidRPr="00454CD2">
              <w:rPr>
                <w:sz w:val="24"/>
              </w:rPr>
              <w:t>MASTA</w:t>
            </w:r>
          </w:p>
        </w:tc>
        <w:tc>
          <w:tcPr>
            <w:tcW w:w="1417" w:type="dxa"/>
            <w:tcBorders>
              <w:top w:val="single" w:sz="4" w:space="0" w:color="auto"/>
              <w:left w:val="single" w:sz="4" w:space="0" w:color="auto"/>
              <w:bottom w:val="single" w:sz="4" w:space="0" w:color="auto"/>
              <w:right w:val="single" w:sz="4" w:space="0" w:color="auto"/>
            </w:tcBorders>
          </w:tcPr>
          <w:p w:rsidR="00C87121" w:rsidRPr="00454CD2" w:rsidRDefault="00C87121" w:rsidP="002B7BE5">
            <w:pPr>
              <w:rPr>
                <w:sz w:val="24"/>
              </w:rPr>
            </w:pPr>
            <w:r w:rsidRPr="00454CD2">
              <w:rPr>
                <w:sz w:val="24"/>
              </w:rPr>
              <w:t>£8.00</w:t>
            </w:r>
          </w:p>
        </w:tc>
        <w:tc>
          <w:tcPr>
            <w:tcW w:w="1701" w:type="dxa"/>
            <w:tcBorders>
              <w:top w:val="nil"/>
              <w:left w:val="single" w:sz="4" w:space="0" w:color="auto"/>
              <w:bottom w:val="single" w:sz="4" w:space="0" w:color="auto"/>
              <w:right w:val="single" w:sz="8" w:space="0" w:color="auto"/>
            </w:tcBorders>
            <w:tcMar>
              <w:top w:w="0" w:type="dxa"/>
              <w:left w:w="108" w:type="dxa"/>
              <w:bottom w:w="0" w:type="dxa"/>
              <w:right w:w="108" w:type="dxa"/>
            </w:tcMar>
            <w:hideMark/>
          </w:tcPr>
          <w:p w:rsidR="00C87121" w:rsidRPr="00454CD2" w:rsidRDefault="00C87121" w:rsidP="002B7BE5">
            <w:pPr>
              <w:rPr>
                <w:sz w:val="24"/>
              </w:rPr>
            </w:pPr>
            <w:r w:rsidRPr="00454CD2">
              <w:rPr>
                <w:sz w:val="24"/>
              </w:rPr>
              <w:t>50%</w:t>
            </w:r>
          </w:p>
        </w:tc>
        <w:tc>
          <w:tcPr>
            <w:tcW w:w="1418" w:type="dxa"/>
            <w:tcBorders>
              <w:top w:val="nil"/>
              <w:left w:val="nil"/>
              <w:bottom w:val="single" w:sz="4" w:space="0" w:color="auto"/>
              <w:right w:val="single" w:sz="8" w:space="0" w:color="auto"/>
            </w:tcBorders>
            <w:tcMar>
              <w:top w:w="0" w:type="dxa"/>
              <w:left w:w="108" w:type="dxa"/>
              <w:bottom w:w="0" w:type="dxa"/>
              <w:right w:w="108" w:type="dxa"/>
            </w:tcMar>
            <w:hideMark/>
          </w:tcPr>
          <w:p w:rsidR="00C87121" w:rsidRPr="00454CD2" w:rsidRDefault="00C87121" w:rsidP="002B7BE5">
            <w:pPr>
              <w:rPr>
                <w:sz w:val="24"/>
              </w:rPr>
            </w:pPr>
            <w:r w:rsidRPr="00454CD2">
              <w:rPr>
                <w:sz w:val="24"/>
              </w:rPr>
              <w:t>£7.01</w:t>
            </w:r>
          </w:p>
        </w:tc>
        <w:tc>
          <w:tcPr>
            <w:tcW w:w="1559" w:type="dxa"/>
            <w:tcBorders>
              <w:top w:val="nil"/>
              <w:left w:val="nil"/>
              <w:bottom w:val="single" w:sz="4" w:space="0" w:color="auto"/>
              <w:right w:val="single" w:sz="8" w:space="0" w:color="auto"/>
            </w:tcBorders>
            <w:tcMar>
              <w:top w:w="0" w:type="dxa"/>
              <w:left w:w="108" w:type="dxa"/>
              <w:bottom w:w="0" w:type="dxa"/>
              <w:right w:w="108" w:type="dxa"/>
            </w:tcMar>
            <w:hideMark/>
          </w:tcPr>
          <w:p w:rsidR="00C87121" w:rsidRPr="00454CD2" w:rsidRDefault="00C87121" w:rsidP="002B7BE5">
            <w:pPr>
              <w:rPr>
                <w:sz w:val="24"/>
              </w:rPr>
            </w:pPr>
            <w:r w:rsidRPr="00454CD2">
              <w:rPr>
                <w:sz w:val="24"/>
              </w:rPr>
              <w:t>20%</w:t>
            </w:r>
          </w:p>
        </w:tc>
      </w:tr>
      <w:tr w:rsidR="00C87121" w:rsidRPr="00454CD2" w:rsidTr="00454CD2">
        <w:tc>
          <w:tcPr>
            <w:tcW w:w="1975"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C87121" w:rsidRPr="00454CD2" w:rsidRDefault="00C87121" w:rsidP="002B7BE5">
            <w:pPr>
              <w:rPr>
                <w:sz w:val="24"/>
              </w:rPr>
            </w:pPr>
            <w:r w:rsidRPr="00454CD2">
              <w:rPr>
                <w:sz w:val="24"/>
              </w:rPr>
              <w:t>Mylan</w:t>
            </w:r>
            <w:r w:rsidR="00454CD2" w:rsidRPr="00454CD2">
              <w:rPr>
                <w:sz w:val="24"/>
              </w:rPr>
              <w:t xml:space="preserve"> (Generic QIV)</w:t>
            </w:r>
          </w:p>
        </w:tc>
        <w:tc>
          <w:tcPr>
            <w:tcW w:w="1417" w:type="dxa"/>
            <w:tcBorders>
              <w:top w:val="single" w:sz="4" w:space="0" w:color="auto"/>
              <w:left w:val="single" w:sz="4" w:space="0" w:color="auto"/>
              <w:bottom w:val="single" w:sz="4" w:space="0" w:color="auto"/>
              <w:right w:val="single" w:sz="4" w:space="0" w:color="auto"/>
            </w:tcBorders>
          </w:tcPr>
          <w:p w:rsidR="00C87121" w:rsidRPr="00454CD2" w:rsidRDefault="00C87121" w:rsidP="002B7BE5">
            <w:pPr>
              <w:rPr>
                <w:sz w:val="24"/>
              </w:rPr>
            </w:pPr>
            <w:r w:rsidRPr="00454CD2">
              <w:rPr>
                <w:sz w:val="24"/>
              </w:rPr>
              <w:t>£8.00</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C87121" w:rsidRPr="00454CD2" w:rsidRDefault="00C87121" w:rsidP="002B7BE5">
            <w:pPr>
              <w:rPr>
                <w:sz w:val="24"/>
              </w:rPr>
            </w:pPr>
            <w:r w:rsidRPr="00454CD2">
              <w:rPr>
                <w:sz w:val="24"/>
              </w:rPr>
              <w:t>50%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87121" w:rsidRPr="00454CD2" w:rsidRDefault="00C87121" w:rsidP="002B7BE5">
            <w:pPr>
              <w:rPr>
                <w:sz w:val="24"/>
              </w:rPr>
            </w:pPr>
            <w:r w:rsidRPr="00454CD2">
              <w:rPr>
                <w:sz w:val="24"/>
              </w:rPr>
              <w:t>£7.01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87121" w:rsidRPr="00454CD2" w:rsidRDefault="008C300F" w:rsidP="002B7BE5">
            <w:pPr>
              <w:rPr>
                <w:sz w:val="24"/>
              </w:rPr>
            </w:pPr>
            <w:r>
              <w:rPr>
                <w:sz w:val="24"/>
              </w:rPr>
              <w:t>2</w:t>
            </w:r>
            <w:r w:rsidR="00C87121" w:rsidRPr="00454CD2">
              <w:rPr>
                <w:sz w:val="24"/>
              </w:rPr>
              <w:t>0%</w:t>
            </w:r>
          </w:p>
        </w:tc>
      </w:tr>
    </w:tbl>
    <w:p w:rsidR="00201E98" w:rsidRDefault="00201E98"/>
    <w:p w:rsidR="00D36ADC" w:rsidRDefault="00D36ADC" w:rsidP="00D36ADC">
      <w:pPr>
        <w:pStyle w:val="NoSpacing"/>
        <w:rPr>
          <w:b/>
          <w:sz w:val="24"/>
        </w:rPr>
      </w:pPr>
      <w:r w:rsidRPr="00D36ADC">
        <w:rPr>
          <w:b/>
          <w:sz w:val="24"/>
        </w:rPr>
        <w:t>Contact LMC Buying Group</w:t>
      </w:r>
    </w:p>
    <w:p w:rsidR="00D36ADC" w:rsidRDefault="00D36ADC" w:rsidP="00D36ADC">
      <w:pPr>
        <w:pStyle w:val="NoSpacing"/>
        <w:rPr>
          <w:b/>
          <w:sz w:val="24"/>
        </w:rPr>
      </w:pPr>
    </w:p>
    <w:p w:rsidR="00D36ADC" w:rsidRDefault="00D36ADC" w:rsidP="00D36ADC">
      <w:pPr>
        <w:pStyle w:val="NoSpacing"/>
        <w:rPr>
          <w:b/>
          <w:sz w:val="24"/>
        </w:rPr>
      </w:pPr>
      <w:r>
        <w:rPr>
          <w:b/>
          <w:sz w:val="24"/>
        </w:rPr>
        <w:t xml:space="preserve">Tel: </w:t>
      </w:r>
      <w:r w:rsidRPr="00D36ADC">
        <w:rPr>
          <w:sz w:val="24"/>
        </w:rPr>
        <w:t>0115 979 6910</w:t>
      </w:r>
    </w:p>
    <w:p w:rsidR="00D36ADC" w:rsidRDefault="00D36ADC" w:rsidP="00D36ADC">
      <w:pPr>
        <w:pStyle w:val="NoSpacing"/>
        <w:rPr>
          <w:b/>
          <w:sz w:val="24"/>
        </w:rPr>
      </w:pPr>
      <w:r>
        <w:rPr>
          <w:b/>
          <w:sz w:val="24"/>
        </w:rPr>
        <w:t xml:space="preserve">Email: </w:t>
      </w:r>
      <w:hyperlink r:id="rId7" w:history="1">
        <w:r w:rsidRPr="00A2732B">
          <w:rPr>
            <w:rStyle w:val="Hyperlink"/>
            <w:sz w:val="24"/>
          </w:rPr>
          <w:t>info@lmcbuyinggroups.co.uk</w:t>
        </w:r>
      </w:hyperlink>
      <w:r>
        <w:rPr>
          <w:b/>
          <w:sz w:val="24"/>
        </w:rPr>
        <w:t xml:space="preserve"> </w:t>
      </w:r>
    </w:p>
    <w:p w:rsidR="006D4D0A" w:rsidRDefault="006D4D0A" w:rsidP="00D36ADC">
      <w:pPr>
        <w:pStyle w:val="NoSpacing"/>
        <w:rPr>
          <w:b/>
          <w:sz w:val="24"/>
        </w:rPr>
      </w:pPr>
    </w:p>
    <w:p w:rsidR="006D4D0A" w:rsidRDefault="006D4D0A" w:rsidP="00D36ADC">
      <w:pPr>
        <w:pStyle w:val="NoSpacing"/>
        <w:rPr>
          <w:b/>
          <w:sz w:val="24"/>
        </w:rPr>
      </w:pPr>
    </w:p>
    <w:p w:rsidR="006D4D0A" w:rsidRDefault="006D4D0A" w:rsidP="00D36ADC">
      <w:pPr>
        <w:pStyle w:val="NoSpacing"/>
        <w:rPr>
          <w:b/>
          <w:sz w:val="24"/>
        </w:rPr>
      </w:pPr>
    </w:p>
    <w:p w:rsidR="009D0996" w:rsidRDefault="009D0996" w:rsidP="006D4D0A">
      <w:pPr>
        <w:pStyle w:val="NoSpacing"/>
        <w:jc w:val="center"/>
        <w:rPr>
          <w:b/>
          <w:color w:val="7030A0"/>
          <w:sz w:val="40"/>
          <w:szCs w:val="40"/>
        </w:rPr>
      </w:pPr>
    </w:p>
    <w:p w:rsidR="00AA73E5" w:rsidRDefault="00AA73E5" w:rsidP="006D4D0A">
      <w:pPr>
        <w:pStyle w:val="NoSpacing"/>
        <w:jc w:val="center"/>
        <w:rPr>
          <w:b/>
          <w:color w:val="7030A0"/>
          <w:sz w:val="40"/>
          <w:szCs w:val="40"/>
        </w:rPr>
      </w:pPr>
    </w:p>
    <w:p w:rsidR="006D4D0A" w:rsidRDefault="006D4D0A" w:rsidP="006D4D0A">
      <w:pPr>
        <w:pStyle w:val="NoSpacing"/>
        <w:jc w:val="center"/>
        <w:rPr>
          <w:b/>
          <w:color w:val="7030A0"/>
          <w:sz w:val="40"/>
          <w:szCs w:val="40"/>
        </w:rPr>
      </w:pPr>
      <w:r w:rsidRPr="00AE1CF3">
        <w:rPr>
          <w:b/>
          <w:color w:val="7030A0"/>
          <w:sz w:val="40"/>
          <w:szCs w:val="40"/>
        </w:rPr>
        <w:lastRenderedPageBreak/>
        <w:t>Pfizer</w:t>
      </w:r>
    </w:p>
    <w:p w:rsidR="006D4D0A" w:rsidRPr="00AE1CF3" w:rsidRDefault="006D4D0A" w:rsidP="006D4D0A">
      <w:pPr>
        <w:pStyle w:val="NoSpacing"/>
        <w:jc w:val="center"/>
        <w:rPr>
          <w:b/>
          <w:color w:val="7030A0"/>
          <w:sz w:val="40"/>
          <w:szCs w:val="40"/>
        </w:rPr>
      </w:pPr>
    </w:p>
    <w:p w:rsidR="006D4D0A" w:rsidRPr="00032990" w:rsidRDefault="006D4D0A" w:rsidP="006D4D0A">
      <w:pPr>
        <w:spacing w:after="0" w:line="240" w:lineRule="auto"/>
        <w:jc w:val="center"/>
        <w:rPr>
          <w:rFonts w:eastAsia="Times New Roman" w:cs="Times New Roman"/>
          <w:b/>
          <w:sz w:val="32"/>
          <w:szCs w:val="32"/>
        </w:rPr>
      </w:pPr>
      <w:r w:rsidRPr="004E7C3A">
        <w:rPr>
          <w:rFonts w:eastAsia="Times New Roman" w:cs="Times New Roman"/>
          <w:b/>
          <w:sz w:val="32"/>
          <w:szCs w:val="32"/>
        </w:rPr>
        <w:t>Inactivated Influenza Vaccine</w:t>
      </w:r>
    </w:p>
    <w:p w:rsidR="006D4D0A" w:rsidRPr="00032990" w:rsidRDefault="006D4D0A" w:rsidP="006D4D0A">
      <w:pPr>
        <w:spacing w:after="0" w:line="240" w:lineRule="auto"/>
        <w:jc w:val="center"/>
        <w:rPr>
          <w:rFonts w:ascii="Arial" w:eastAsia="Times New Roman" w:hAnsi="Arial" w:cs="Times New Roman"/>
          <w:b/>
          <w:sz w:val="28"/>
          <w:szCs w:val="28"/>
        </w:rPr>
      </w:pPr>
    </w:p>
    <w:tbl>
      <w:tblPr>
        <w:tblStyle w:val="TableGrid"/>
        <w:tblW w:w="0" w:type="auto"/>
        <w:tblLook w:val="04A0" w:firstRow="1" w:lastRow="0" w:firstColumn="1" w:lastColumn="0" w:noHBand="0" w:noVBand="1"/>
      </w:tblPr>
      <w:tblGrid>
        <w:gridCol w:w="3260"/>
        <w:gridCol w:w="3162"/>
        <w:gridCol w:w="2820"/>
      </w:tblGrid>
      <w:tr w:rsidR="006D4D0A" w:rsidRPr="00032990" w:rsidTr="002B7BE5">
        <w:tc>
          <w:tcPr>
            <w:tcW w:w="0" w:type="auto"/>
          </w:tcPr>
          <w:p w:rsidR="006D4D0A" w:rsidRPr="00032990" w:rsidRDefault="006D4D0A" w:rsidP="002B7BE5">
            <w:pPr>
              <w:jc w:val="center"/>
              <w:rPr>
                <w:rFonts w:eastAsia="Times New Roman" w:cs="Times New Roman"/>
                <w:b/>
                <w:sz w:val="24"/>
                <w:szCs w:val="24"/>
              </w:rPr>
            </w:pPr>
          </w:p>
        </w:tc>
        <w:tc>
          <w:tcPr>
            <w:tcW w:w="0" w:type="auto"/>
          </w:tcPr>
          <w:p w:rsidR="006D4D0A" w:rsidRPr="00032990" w:rsidRDefault="006D4D0A" w:rsidP="002B7BE5">
            <w:pPr>
              <w:jc w:val="center"/>
              <w:rPr>
                <w:rFonts w:eastAsia="Times New Roman" w:cs="Times New Roman"/>
                <w:b/>
                <w:sz w:val="24"/>
                <w:szCs w:val="24"/>
              </w:rPr>
            </w:pPr>
            <w:r w:rsidRPr="00032990">
              <w:rPr>
                <w:rFonts w:eastAsia="Times New Roman" w:cs="Times New Roman"/>
                <w:b/>
                <w:sz w:val="24"/>
                <w:szCs w:val="24"/>
              </w:rPr>
              <w:t xml:space="preserve">Ordered before </w:t>
            </w:r>
            <w:r>
              <w:rPr>
                <w:rFonts w:eastAsia="Times New Roman" w:cs="Times New Roman"/>
                <w:b/>
                <w:sz w:val="24"/>
                <w:szCs w:val="24"/>
              </w:rPr>
              <w:t xml:space="preserve">31 </w:t>
            </w:r>
            <w:r w:rsidRPr="00032990">
              <w:rPr>
                <w:rFonts w:eastAsia="Times New Roman" w:cs="Times New Roman"/>
                <w:b/>
                <w:sz w:val="24"/>
                <w:szCs w:val="24"/>
              </w:rPr>
              <w:t>Dec (</w:t>
            </w:r>
            <w:r>
              <w:rPr>
                <w:rFonts w:eastAsia="Times New Roman" w:cs="Times New Roman"/>
                <w:b/>
                <w:sz w:val="24"/>
                <w:szCs w:val="24"/>
              </w:rPr>
              <w:t>61.5</w:t>
            </w:r>
            <w:r w:rsidRPr="00032990">
              <w:rPr>
                <w:rFonts w:eastAsia="Times New Roman" w:cs="Times New Roman"/>
                <w:b/>
                <w:sz w:val="24"/>
                <w:szCs w:val="24"/>
              </w:rPr>
              <w:t>%)</w:t>
            </w:r>
          </w:p>
        </w:tc>
        <w:tc>
          <w:tcPr>
            <w:tcW w:w="0" w:type="auto"/>
          </w:tcPr>
          <w:p w:rsidR="006D4D0A" w:rsidRPr="00032990" w:rsidRDefault="006D4D0A" w:rsidP="002B7BE5">
            <w:pPr>
              <w:jc w:val="center"/>
              <w:rPr>
                <w:rFonts w:eastAsia="Times New Roman" w:cs="Times New Roman"/>
                <w:b/>
                <w:sz w:val="24"/>
                <w:szCs w:val="24"/>
              </w:rPr>
            </w:pPr>
            <w:r>
              <w:rPr>
                <w:rFonts w:eastAsia="Times New Roman" w:cs="Times New Roman"/>
                <w:b/>
                <w:sz w:val="24"/>
                <w:szCs w:val="24"/>
              </w:rPr>
              <w:t>Ordered after 31</w:t>
            </w:r>
            <w:r w:rsidRPr="00032990">
              <w:rPr>
                <w:rFonts w:eastAsia="Times New Roman" w:cs="Times New Roman"/>
                <w:b/>
                <w:sz w:val="24"/>
                <w:szCs w:val="24"/>
              </w:rPr>
              <w:t xml:space="preserve"> Dec (</w:t>
            </w:r>
            <w:r>
              <w:rPr>
                <w:rFonts w:eastAsia="Times New Roman" w:cs="Times New Roman"/>
                <w:b/>
                <w:sz w:val="24"/>
                <w:szCs w:val="24"/>
              </w:rPr>
              <w:t>60%</w:t>
            </w:r>
            <w:r w:rsidRPr="00032990">
              <w:rPr>
                <w:rFonts w:eastAsia="Times New Roman" w:cs="Times New Roman"/>
                <w:b/>
                <w:sz w:val="24"/>
                <w:szCs w:val="24"/>
              </w:rPr>
              <w:t>)</w:t>
            </w:r>
          </w:p>
        </w:tc>
      </w:tr>
      <w:tr w:rsidR="006D4D0A" w:rsidRPr="00032990" w:rsidTr="002B7BE5">
        <w:tc>
          <w:tcPr>
            <w:tcW w:w="0" w:type="auto"/>
          </w:tcPr>
          <w:p w:rsidR="006D4D0A" w:rsidRPr="00032990" w:rsidRDefault="006D4D0A" w:rsidP="002B7BE5">
            <w:pPr>
              <w:jc w:val="center"/>
              <w:rPr>
                <w:rFonts w:eastAsia="Times New Roman" w:cs="Times New Roman"/>
                <w:sz w:val="24"/>
                <w:szCs w:val="24"/>
              </w:rPr>
            </w:pPr>
            <w:r w:rsidRPr="00032990">
              <w:rPr>
                <w:rFonts w:eastAsia="Times New Roman" w:cs="Times New Roman"/>
                <w:sz w:val="24"/>
                <w:szCs w:val="24"/>
              </w:rPr>
              <w:t>NHS Price</w:t>
            </w:r>
          </w:p>
        </w:tc>
        <w:tc>
          <w:tcPr>
            <w:tcW w:w="0" w:type="auto"/>
          </w:tcPr>
          <w:p w:rsidR="006D4D0A" w:rsidRPr="00032990" w:rsidRDefault="006D4D0A" w:rsidP="002B7BE5">
            <w:pPr>
              <w:jc w:val="center"/>
              <w:rPr>
                <w:rFonts w:eastAsia="Times New Roman" w:cs="Times New Roman"/>
                <w:sz w:val="24"/>
                <w:szCs w:val="24"/>
              </w:rPr>
            </w:pPr>
            <w:r w:rsidRPr="00032990">
              <w:rPr>
                <w:rFonts w:eastAsia="Times New Roman" w:cs="Times New Roman"/>
                <w:sz w:val="24"/>
                <w:szCs w:val="24"/>
              </w:rPr>
              <w:t>£6.59</w:t>
            </w:r>
          </w:p>
        </w:tc>
        <w:tc>
          <w:tcPr>
            <w:tcW w:w="0" w:type="auto"/>
          </w:tcPr>
          <w:p w:rsidR="006D4D0A" w:rsidRPr="00032990" w:rsidRDefault="006D4D0A" w:rsidP="002B7BE5">
            <w:pPr>
              <w:jc w:val="center"/>
              <w:rPr>
                <w:rFonts w:eastAsia="Times New Roman" w:cs="Times New Roman"/>
                <w:sz w:val="24"/>
                <w:szCs w:val="24"/>
              </w:rPr>
            </w:pPr>
            <w:r w:rsidRPr="00032990">
              <w:rPr>
                <w:rFonts w:eastAsia="Times New Roman" w:cs="Times New Roman"/>
                <w:sz w:val="24"/>
                <w:szCs w:val="24"/>
              </w:rPr>
              <w:t>£6.59</w:t>
            </w:r>
          </w:p>
        </w:tc>
      </w:tr>
      <w:tr w:rsidR="006D4D0A" w:rsidRPr="00032990" w:rsidTr="002B7BE5">
        <w:tc>
          <w:tcPr>
            <w:tcW w:w="0" w:type="auto"/>
          </w:tcPr>
          <w:p w:rsidR="006D4D0A" w:rsidRPr="00032990" w:rsidRDefault="006D4D0A" w:rsidP="002B7BE5">
            <w:pPr>
              <w:jc w:val="center"/>
              <w:rPr>
                <w:rFonts w:eastAsia="Times New Roman" w:cs="Times New Roman"/>
                <w:sz w:val="24"/>
                <w:szCs w:val="24"/>
              </w:rPr>
            </w:pPr>
            <w:r w:rsidRPr="00032990">
              <w:rPr>
                <w:rFonts w:eastAsia="Times New Roman" w:cs="Times New Roman"/>
                <w:sz w:val="24"/>
                <w:szCs w:val="24"/>
              </w:rPr>
              <w:t>Dispensing Fee*</w:t>
            </w:r>
          </w:p>
        </w:tc>
        <w:tc>
          <w:tcPr>
            <w:tcW w:w="0" w:type="auto"/>
          </w:tcPr>
          <w:p w:rsidR="006D4D0A" w:rsidRDefault="006D4D0A" w:rsidP="002B7BE5">
            <w:pPr>
              <w:jc w:val="center"/>
            </w:pPr>
            <w:r w:rsidRPr="00AB1C45">
              <w:rPr>
                <w:rFonts w:eastAsia="Times New Roman" w:cs="Times New Roman"/>
                <w:sz w:val="24"/>
                <w:szCs w:val="24"/>
              </w:rPr>
              <w:t>£2.209</w:t>
            </w:r>
          </w:p>
        </w:tc>
        <w:tc>
          <w:tcPr>
            <w:tcW w:w="0" w:type="auto"/>
          </w:tcPr>
          <w:p w:rsidR="006D4D0A" w:rsidRDefault="006D4D0A" w:rsidP="002B7BE5">
            <w:pPr>
              <w:jc w:val="center"/>
            </w:pPr>
            <w:r w:rsidRPr="00AB1C45">
              <w:rPr>
                <w:rFonts w:eastAsia="Times New Roman" w:cs="Times New Roman"/>
                <w:sz w:val="24"/>
                <w:szCs w:val="24"/>
              </w:rPr>
              <w:t>£2.209</w:t>
            </w:r>
          </w:p>
        </w:tc>
      </w:tr>
      <w:tr w:rsidR="006D4D0A" w:rsidRPr="00032990" w:rsidTr="002B7BE5">
        <w:tc>
          <w:tcPr>
            <w:tcW w:w="0" w:type="auto"/>
          </w:tcPr>
          <w:p w:rsidR="006D4D0A" w:rsidRPr="00032990" w:rsidRDefault="006D4D0A" w:rsidP="002B7BE5">
            <w:pPr>
              <w:jc w:val="center"/>
              <w:rPr>
                <w:rFonts w:eastAsia="Times New Roman" w:cs="Times New Roman"/>
                <w:sz w:val="24"/>
                <w:szCs w:val="24"/>
              </w:rPr>
            </w:pPr>
            <w:r w:rsidRPr="00032990">
              <w:rPr>
                <w:rFonts w:eastAsia="Times New Roman" w:cs="Times New Roman"/>
                <w:sz w:val="24"/>
                <w:szCs w:val="24"/>
              </w:rPr>
              <w:t>VAT (20%)</w:t>
            </w:r>
          </w:p>
        </w:tc>
        <w:tc>
          <w:tcPr>
            <w:tcW w:w="0" w:type="auto"/>
          </w:tcPr>
          <w:p w:rsidR="006D4D0A" w:rsidRPr="00032990" w:rsidRDefault="006D4D0A" w:rsidP="002B7BE5">
            <w:pPr>
              <w:jc w:val="center"/>
              <w:rPr>
                <w:rFonts w:eastAsia="Times New Roman" w:cs="Times New Roman"/>
                <w:sz w:val="24"/>
                <w:szCs w:val="24"/>
              </w:rPr>
            </w:pPr>
            <w:r w:rsidRPr="00032990">
              <w:rPr>
                <w:rFonts w:eastAsia="Times New Roman" w:cs="Times New Roman"/>
                <w:sz w:val="24"/>
                <w:szCs w:val="24"/>
              </w:rPr>
              <w:t>£1.32</w:t>
            </w:r>
          </w:p>
        </w:tc>
        <w:tc>
          <w:tcPr>
            <w:tcW w:w="0" w:type="auto"/>
          </w:tcPr>
          <w:p w:rsidR="006D4D0A" w:rsidRPr="00032990" w:rsidRDefault="006D4D0A" w:rsidP="002B7BE5">
            <w:pPr>
              <w:jc w:val="center"/>
              <w:rPr>
                <w:rFonts w:eastAsia="Times New Roman" w:cs="Times New Roman"/>
                <w:sz w:val="24"/>
                <w:szCs w:val="24"/>
              </w:rPr>
            </w:pPr>
            <w:r w:rsidRPr="00032990">
              <w:rPr>
                <w:rFonts w:eastAsia="Times New Roman" w:cs="Times New Roman"/>
                <w:sz w:val="24"/>
                <w:szCs w:val="24"/>
              </w:rPr>
              <w:t>£1.32</w:t>
            </w:r>
          </w:p>
        </w:tc>
      </w:tr>
      <w:tr w:rsidR="006D4D0A" w:rsidRPr="00032990" w:rsidTr="002B7BE5">
        <w:tc>
          <w:tcPr>
            <w:tcW w:w="0" w:type="auto"/>
          </w:tcPr>
          <w:p w:rsidR="006D4D0A" w:rsidRPr="00032990" w:rsidRDefault="006D4D0A" w:rsidP="002B7BE5">
            <w:pPr>
              <w:jc w:val="center"/>
              <w:rPr>
                <w:rFonts w:eastAsia="Times New Roman" w:cs="Times New Roman"/>
                <w:b/>
                <w:sz w:val="28"/>
                <w:szCs w:val="24"/>
              </w:rPr>
            </w:pPr>
            <w:r w:rsidRPr="00032990">
              <w:rPr>
                <w:rFonts w:eastAsia="Times New Roman" w:cs="Times New Roman"/>
                <w:b/>
                <w:sz w:val="28"/>
                <w:szCs w:val="24"/>
              </w:rPr>
              <w:t>Total NHS Reimbursement</w:t>
            </w:r>
          </w:p>
        </w:tc>
        <w:tc>
          <w:tcPr>
            <w:tcW w:w="0" w:type="auto"/>
          </w:tcPr>
          <w:p w:rsidR="006D4D0A" w:rsidRPr="00032990" w:rsidRDefault="006D4D0A" w:rsidP="002B7BE5">
            <w:pPr>
              <w:jc w:val="center"/>
              <w:rPr>
                <w:rFonts w:eastAsia="Times New Roman" w:cs="Times New Roman"/>
                <w:b/>
                <w:sz w:val="28"/>
                <w:szCs w:val="24"/>
              </w:rPr>
            </w:pPr>
            <w:r w:rsidRPr="00032990">
              <w:rPr>
                <w:rFonts w:eastAsia="Times New Roman" w:cs="Times New Roman"/>
                <w:b/>
                <w:sz w:val="28"/>
                <w:szCs w:val="24"/>
              </w:rPr>
              <w:t>£10.</w:t>
            </w:r>
            <w:r>
              <w:rPr>
                <w:rFonts w:eastAsia="Times New Roman" w:cs="Times New Roman"/>
                <w:b/>
                <w:sz w:val="28"/>
                <w:szCs w:val="24"/>
              </w:rPr>
              <w:t>12</w:t>
            </w:r>
          </w:p>
        </w:tc>
        <w:tc>
          <w:tcPr>
            <w:tcW w:w="0" w:type="auto"/>
          </w:tcPr>
          <w:p w:rsidR="006D4D0A" w:rsidRPr="00032990" w:rsidRDefault="006D4D0A" w:rsidP="002B7BE5">
            <w:pPr>
              <w:jc w:val="center"/>
              <w:rPr>
                <w:rFonts w:eastAsia="Times New Roman" w:cs="Times New Roman"/>
                <w:b/>
                <w:sz w:val="28"/>
                <w:szCs w:val="24"/>
              </w:rPr>
            </w:pPr>
            <w:r w:rsidRPr="00032990">
              <w:rPr>
                <w:rFonts w:eastAsia="Times New Roman" w:cs="Times New Roman"/>
                <w:b/>
                <w:sz w:val="28"/>
                <w:szCs w:val="24"/>
              </w:rPr>
              <w:t>£10.</w:t>
            </w:r>
            <w:r>
              <w:rPr>
                <w:rFonts w:eastAsia="Times New Roman" w:cs="Times New Roman"/>
                <w:b/>
                <w:sz w:val="28"/>
                <w:szCs w:val="24"/>
              </w:rPr>
              <w:t>12</w:t>
            </w:r>
          </w:p>
        </w:tc>
      </w:tr>
      <w:tr w:rsidR="006D4D0A" w:rsidRPr="00032990" w:rsidTr="002B7BE5">
        <w:tc>
          <w:tcPr>
            <w:tcW w:w="0" w:type="auto"/>
          </w:tcPr>
          <w:p w:rsidR="006D4D0A" w:rsidRPr="00032990" w:rsidRDefault="006D4D0A" w:rsidP="002B7BE5">
            <w:pPr>
              <w:jc w:val="center"/>
              <w:rPr>
                <w:rFonts w:eastAsia="Times New Roman" w:cs="Times New Roman"/>
                <w:sz w:val="24"/>
                <w:szCs w:val="24"/>
              </w:rPr>
            </w:pPr>
            <w:r w:rsidRPr="00032990">
              <w:rPr>
                <w:rFonts w:eastAsia="Times New Roman" w:cs="Times New Roman"/>
                <w:sz w:val="24"/>
                <w:szCs w:val="24"/>
              </w:rPr>
              <w:t>Actual cost after discount</w:t>
            </w:r>
          </w:p>
        </w:tc>
        <w:tc>
          <w:tcPr>
            <w:tcW w:w="0" w:type="auto"/>
          </w:tcPr>
          <w:p w:rsidR="006D4D0A" w:rsidRPr="00032990" w:rsidRDefault="006D4D0A" w:rsidP="002B7BE5">
            <w:pPr>
              <w:jc w:val="center"/>
              <w:rPr>
                <w:rFonts w:eastAsia="Times New Roman" w:cs="Times New Roman"/>
                <w:sz w:val="24"/>
                <w:szCs w:val="24"/>
              </w:rPr>
            </w:pPr>
            <w:r w:rsidRPr="00BE462D">
              <w:rPr>
                <w:rFonts w:ascii="Calibri" w:hAnsi="Calibri" w:cs="Calibri"/>
                <w:color w:val="000000"/>
                <w:sz w:val="24"/>
                <w:szCs w:val="24"/>
              </w:rPr>
              <w:t>£2.5</w:t>
            </w:r>
            <w:r>
              <w:rPr>
                <w:rFonts w:ascii="Calibri" w:hAnsi="Calibri" w:cs="Calibri"/>
                <w:color w:val="000000"/>
                <w:sz w:val="24"/>
                <w:szCs w:val="24"/>
              </w:rPr>
              <w:t>4</w:t>
            </w:r>
          </w:p>
        </w:tc>
        <w:tc>
          <w:tcPr>
            <w:tcW w:w="0" w:type="auto"/>
          </w:tcPr>
          <w:p w:rsidR="006D4D0A" w:rsidRPr="00032990" w:rsidRDefault="006D4D0A" w:rsidP="002B7BE5">
            <w:pPr>
              <w:jc w:val="center"/>
              <w:rPr>
                <w:rFonts w:eastAsia="Times New Roman" w:cs="Times New Roman"/>
                <w:sz w:val="24"/>
                <w:szCs w:val="24"/>
              </w:rPr>
            </w:pPr>
            <w:r w:rsidRPr="00BE462D">
              <w:rPr>
                <w:rFonts w:ascii="Calibri" w:hAnsi="Calibri" w:cs="Calibri"/>
                <w:color w:val="000000"/>
                <w:sz w:val="24"/>
                <w:szCs w:val="24"/>
              </w:rPr>
              <w:t>£2.</w:t>
            </w:r>
            <w:r>
              <w:rPr>
                <w:rFonts w:ascii="Calibri" w:hAnsi="Calibri" w:cs="Calibri"/>
                <w:color w:val="000000"/>
                <w:sz w:val="24"/>
                <w:szCs w:val="24"/>
              </w:rPr>
              <w:t>64</w:t>
            </w:r>
          </w:p>
        </w:tc>
      </w:tr>
      <w:tr w:rsidR="006D4D0A" w:rsidRPr="00032990" w:rsidTr="002B7BE5">
        <w:tc>
          <w:tcPr>
            <w:tcW w:w="0" w:type="auto"/>
          </w:tcPr>
          <w:p w:rsidR="006D4D0A" w:rsidRPr="00032990" w:rsidRDefault="006D4D0A" w:rsidP="002B7BE5">
            <w:pPr>
              <w:jc w:val="center"/>
              <w:rPr>
                <w:rFonts w:eastAsia="Times New Roman" w:cs="Times New Roman"/>
                <w:sz w:val="24"/>
                <w:szCs w:val="24"/>
              </w:rPr>
            </w:pPr>
            <w:r w:rsidRPr="00032990">
              <w:rPr>
                <w:rFonts w:eastAsia="Times New Roman" w:cs="Times New Roman"/>
                <w:sz w:val="24"/>
                <w:szCs w:val="24"/>
              </w:rPr>
              <w:t>VAT (20%)</w:t>
            </w:r>
          </w:p>
        </w:tc>
        <w:tc>
          <w:tcPr>
            <w:tcW w:w="0" w:type="auto"/>
          </w:tcPr>
          <w:p w:rsidR="006D4D0A" w:rsidRPr="00032990" w:rsidRDefault="006D4D0A" w:rsidP="002B7BE5">
            <w:pPr>
              <w:jc w:val="center"/>
              <w:rPr>
                <w:rFonts w:eastAsia="Times New Roman" w:cs="Times New Roman"/>
                <w:sz w:val="24"/>
                <w:szCs w:val="24"/>
              </w:rPr>
            </w:pPr>
            <w:r w:rsidRPr="00BE462D">
              <w:rPr>
                <w:rFonts w:ascii="Calibri" w:hAnsi="Calibri" w:cs="Calibri"/>
                <w:color w:val="000000"/>
                <w:sz w:val="24"/>
                <w:szCs w:val="24"/>
              </w:rPr>
              <w:t>£0.5</w:t>
            </w:r>
            <w:r>
              <w:rPr>
                <w:rFonts w:ascii="Calibri" w:hAnsi="Calibri" w:cs="Calibri"/>
                <w:color w:val="000000"/>
                <w:sz w:val="24"/>
                <w:szCs w:val="24"/>
              </w:rPr>
              <w:t>1</w:t>
            </w:r>
          </w:p>
        </w:tc>
        <w:tc>
          <w:tcPr>
            <w:tcW w:w="0" w:type="auto"/>
          </w:tcPr>
          <w:p w:rsidR="006D4D0A" w:rsidRPr="00032990" w:rsidRDefault="006D4D0A" w:rsidP="002B7BE5">
            <w:pPr>
              <w:jc w:val="center"/>
              <w:rPr>
                <w:rFonts w:eastAsia="Times New Roman" w:cs="Times New Roman"/>
                <w:sz w:val="24"/>
                <w:szCs w:val="24"/>
              </w:rPr>
            </w:pPr>
            <w:r w:rsidRPr="00BE462D">
              <w:rPr>
                <w:rFonts w:ascii="Calibri" w:hAnsi="Calibri" w:cs="Calibri"/>
                <w:color w:val="000000"/>
                <w:sz w:val="24"/>
                <w:szCs w:val="24"/>
              </w:rPr>
              <w:t>£0.5</w:t>
            </w:r>
            <w:r>
              <w:rPr>
                <w:rFonts w:ascii="Calibri" w:hAnsi="Calibri" w:cs="Calibri"/>
                <w:color w:val="000000"/>
                <w:sz w:val="24"/>
                <w:szCs w:val="24"/>
              </w:rPr>
              <w:t>3</w:t>
            </w:r>
          </w:p>
        </w:tc>
      </w:tr>
      <w:tr w:rsidR="006D4D0A" w:rsidRPr="00032990" w:rsidTr="002B7BE5">
        <w:tc>
          <w:tcPr>
            <w:tcW w:w="0" w:type="auto"/>
          </w:tcPr>
          <w:p w:rsidR="006D4D0A" w:rsidRPr="00032990" w:rsidRDefault="006D4D0A" w:rsidP="002B7BE5">
            <w:pPr>
              <w:jc w:val="center"/>
              <w:rPr>
                <w:rFonts w:eastAsia="Times New Roman" w:cs="Times New Roman"/>
                <w:sz w:val="24"/>
                <w:szCs w:val="24"/>
              </w:rPr>
            </w:pPr>
            <w:r w:rsidRPr="00032990">
              <w:rPr>
                <w:rFonts w:eastAsia="Times New Roman" w:cs="Times New Roman"/>
                <w:sz w:val="24"/>
                <w:szCs w:val="24"/>
              </w:rPr>
              <w:t>Total cost to practice</w:t>
            </w:r>
          </w:p>
        </w:tc>
        <w:tc>
          <w:tcPr>
            <w:tcW w:w="0" w:type="auto"/>
          </w:tcPr>
          <w:p w:rsidR="006D4D0A" w:rsidRPr="00032990" w:rsidRDefault="006D4D0A" w:rsidP="002B7BE5">
            <w:pPr>
              <w:jc w:val="center"/>
              <w:rPr>
                <w:rFonts w:eastAsia="Times New Roman" w:cs="Times New Roman"/>
                <w:sz w:val="24"/>
                <w:szCs w:val="24"/>
              </w:rPr>
            </w:pPr>
            <w:r w:rsidRPr="00BE462D">
              <w:rPr>
                <w:rFonts w:ascii="Calibri" w:hAnsi="Calibri" w:cs="Calibri"/>
                <w:color w:val="000000"/>
                <w:sz w:val="24"/>
                <w:szCs w:val="24"/>
              </w:rPr>
              <w:t>£3.</w:t>
            </w:r>
            <w:r>
              <w:rPr>
                <w:rFonts w:ascii="Calibri" w:hAnsi="Calibri" w:cs="Calibri"/>
                <w:color w:val="000000"/>
                <w:sz w:val="24"/>
                <w:szCs w:val="24"/>
              </w:rPr>
              <w:t>05</w:t>
            </w:r>
          </w:p>
        </w:tc>
        <w:tc>
          <w:tcPr>
            <w:tcW w:w="0" w:type="auto"/>
          </w:tcPr>
          <w:p w:rsidR="006D4D0A" w:rsidRPr="00032990" w:rsidRDefault="006D4D0A" w:rsidP="002B7BE5">
            <w:pPr>
              <w:jc w:val="center"/>
              <w:rPr>
                <w:rFonts w:eastAsia="Times New Roman" w:cs="Times New Roman"/>
                <w:sz w:val="24"/>
                <w:szCs w:val="24"/>
              </w:rPr>
            </w:pPr>
            <w:r w:rsidRPr="00BE462D">
              <w:rPr>
                <w:rFonts w:ascii="Calibri" w:hAnsi="Calibri" w:cs="Calibri"/>
                <w:color w:val="000000"/>
                <w:sz w:val="24"/>
                <w:szCs w:val="24"/>
              </w:rPr>
              <w:t>£3.</w:t>
            </w:r>
            <w:r>
              <w:rPr>
                <w:rFonts w:ascii="Calibri" w:hAnsi="Calibri" w:cs="Calibri"/>
                <w:color w:val="000000"/>
                <w:sz w:val="24"/>
                <w:szCs w:val="24"/>
              </w:rPr>
              <w:t>17</w:t>
            </w:r>
          </w:p>
        </w:tc>
      </w:tr>
      <w:tr w:rsidR="006D4D0A" w:rsidRPr="00032990" w:rsidTr="002B7BE5">
        <w:tc>
          <w:tcPr>
            <w:tcW w:w="0" w:type="auto"/>
          </w:tcPr>
          <w:p w:rsidR="006D4D0A" w:rsidRPr="00032990" w:rsidRDefault="006D4D0A" w:rsidP="002B7BE5">
            <w:pPr>
              <w:jc w:val="center"/>
              <w:rPr>
                <w:rFonts w:eastAsia="Times New Roman" w:cs="Times New Roman"/>
                <w:b/>
                <w:sz w:val="28"/>
                <w:szCs w:val="24"/>
              </w:rPr>
            </w:pPr>
            <w:r w:rsidRPr="00032990">
              <w:rPr>
                <w:rFonts w:eastAsia="Times New Roman" w:cs="Times New Roman"/>
                <w:b/>
                <w:sz w:val="28"/>
                <w:szCs w:val="24"/>
              </w:rPr>
              <w:t>Total Profit Per Dose (PPD)</w:t>
            </w:r>
          </w:p>
        </w:tc>
        <w:tc>
          <w:tcPr>
            <w:tcW w:w="0" w:type="auto"/>
          </w:tcPr>
          <w:p w:rsidR="006D4D0A" w:rsidRPr="00032990" w:rsidRDefault="006D4D0A" w:rsidP="002B7BE5">
            <w:pPr>
              <w:jc w:val="center"/>
              <w:rPr>
                <w:rFonts w:eastAsia="Times New Roman" w:cs="Times New Roman"/>
                <w:b/>
                <w:sz w:val="28"/>
                <w:szCs w:val="24"/>
              </w:rPr>
            </w:pPr>
            <w:r>
              <w:rPr>
                <w:rFonts w:ascii="Calibri" w:hAnsi="Calibri" w:cs="Calibri"/>
                <w:b/>
                <w:color w:val="000000"/>
                <w:sz w:val="28"/>
                <w:szCs w:val="24"/>
              </w:rPr>
              <w:t>£7.07</w:t>
            </w:r>
          </w:p>
        </w:tc>
        <w:tc>
          <w:tcPr>
            <w:tcW w:w="0" w:type="auto"/>
          </w:tcPr>
          <w:p w:rsidR="006D4D0A" w:rsidRPr="00032990" w:rsidRDefault="006D4D0A" w:rsidP="002B7BE5">
            <w:pPr>
              <w:jc w:val="center"/>
              <w:rPr>
                <w:rFonts w:eastAsia="Times New Roman" w:cs="Times New Roman"/>
                <w:b/>
                <w:sz w:val="28"/>
                <w:szCs w:val="24"/>
              </w:rPr>
            </w:pPr>
            <w:r>
              <w:rPr>
                <w:rFonts w:ascii="Calibri" w:hAnsi="Calibri" w:cs="Calibri"/>
                <w:b/>
                <w:color w:val="000000"/>
                <w:sz w:val="28"/>
                <w:szCs w:val="24"/>
              </w:rPr>
              <w:t>£6.95</w:t>
            </w:r>
          </w:p>
        </w:tc>
      </w:tr>
    </w:tbl>
    <w:p w:rsidR="006D4D0A" w:rsidRPr="00032990" w:rsidRDefault="006D4D0A" w:rsidP="006D4D0A">
      <w:pPr>
        <w:autoSpaceDE w:val="0"/>
        <w:autoSpaceDN w:val="0"/>
        <w:adjustRightInd w:val="0"/>
        <w:spacing w:after="0" w:line="240" w:lineRule="auto"/>
        <w:rPr>
          <w:rFonts w:ascii="Calibri" w:hAnsi="Calibri" w:cs="Calibri"/>
          <w:color w:val="000000"/>
          <w:sz w:val="24"/>
          <w:szCs w:val="24"/>
        </w:rPr>
      </w:pPr>
      <w:r w:rsidRPr="00032990">
        <w:rPr>
          <w:rFonts w:eastAsia="Times New Roman" w:cs="Times New Roman"/>
          <w:sz w:val="20"/>
        </w:rPr>
        <w:t>* The dispensing fee illustrated is for guidance purposes only and is based on a non-dispensing practice dispensing up to 4</w:t>
      </w:r>
      <w:r>
        <w:rPr>
          <w:rFonts w:eastAsia="Times New Roman" w:cs="Times New Roman"/>
          <w:sz w:val="20"/>
        </w:rPr>
        <w:t>57</w:t>
      </w:r>
      <w:r w:rsidRPr="00032990">
        <w:rPr>
          <w:rFonts w:eastAsia="Times New Roman" w:cs="Times New Roman"/>
          <w:sz w:val="20"/>
        </w:rPr>
        <w:t xml:space="preserve"> items a month under rules applying from 1 </w:t>
      </w:r>
      <w:r>
        <w:rPr>
          <w:rFonts w:eastAsia="Times New Roman" w:cs="Times New Roman"/>
          <w:sz w:val="20"/>
        </w:rPr>
        <w:t>October</w:t>
      </w:r>
      <w:r w:rsidRPr="00032990">
        <w:rPr>
          <w:rFonts w:eastAsia="Times New Roman" w:cs="Times New Roman"/>
          <w:sz w:val="20"/>
        </w:rPr>
        <w:t xml:space="preserve"> 201</w:t>
      </w:r>
      <w:r>
        <w:rPr>
          <w:rFonts w:eastAsia="Times New Roman" w:cs="Times New Roman"/>
          <w:sz w:val="20"/>
        </w:rPr>
        <w:t>7</w:t>
      </w:r>
      <w:r w:rsidRPr="00032990">
        <w:rPr>
          <w:rFonts w:eastAsia="Times New Roman" w:cs="Times New Roman"/>
          <w:sz w:val="20"/>
        </w:rPr>
        <w:t xml:space="preserve"> (see separate table).</w:t>
      </w:r>
    </w:p>
    <w:p w:rsidR="006D4D0A" w:rsidRDefault="006D4D0A" w:rsidP="006D4D0A">
      <w:pPr>
        <w:autoSpaceDE w:val="0"/>
        <w:autoSpaceDN w:val="0"/>
        <w:adjustRightInd w:val="0"/>
        <w:spacing w:after="0" w:line="240" w:lineRule="auto"/>
        <w:rPr>
          <w:rFonts w:ascii="Calibri" w:hAnsi="Calibri" w:cs="Calibri"/>
          <w:color w:val="000000"/>
          <w:sz w:val="24"/>
          <w:szCs w:val="24"/>
        </w:rPr>
      </w:pPr>
    </w:p>
    <w:p w:rsidR="006D4D0A" w:rsidRDefault="006D4D0A" w:rsidP="006D4D0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The Pfizer offer also includes:</w:t>
      </w:r>
    </w:p>
    <w:p w:rsidR="006D4D0A" w:rsidRPr="00032990" w:rsidRDefault="006D4D0A" w:rsidP="006D4D0A">
      <w:pPr>
        <w:autoSpaceDE w:val="0"/>
        <w:autoSpaceDN w:val="0"/>
        <w:adjustRightInd w:val="0"/>
        <w:spacing w:after="0" w:line="240" w:lineRule="auto"/>
        <w:rPr>
          <w:rFonts w:ascii="Calibri" w:hAnsi="Calibri" w:cs="Calibri"/>
          <w:color w:val="000000"/>
          <w:sz w:val="24"/>
          <w:szCs w:val="24"/>
        </w:rPr>
      </w:pPr>
    </w:p>
    <w:p w:rsidR="006D4D0A" w:rsidRDefault="006D4D0A" w:rsidP="006D4D0A">
      <w:pPr>
        <w:pStyle w:val="NoSpacing"/>
        <w:numPr>
          <w:ilvl w:val="0"/>
          <w:numId w:val="1"/>
        </w:numPr>
        <w:rPr>
          <w:sz w:val="24"/>
        </w:rPr>
      </w:pPr>
      <w:r w:rsidRPr="007E2C6D">
        <w:rPr>
          <w:sz w:val="24"/>
        </w:rPr>
        <w:t>20% sale or return facility or 10% if order is split with another company</w:t>
      </w:r>
    </w:p>
    <w:p w:rsidR="006D4D0A" w:rsidRDefault="006D4D0A" w:rsidP="006D4D0A">
      <w:pPr>
        <w:pStyle w:val="NoSpacing"/>
        <w:numPr>
          <w:ilvl w:val="0"/>
          <w:numId w:val="1"/>
        </w:numPr>
        <w:rPr>
          <w:sz w:val="24"/>
        </w:rPr>
      </w:pPr>
      <w:r w:rsidRPr="007E2C6D">
        <w:rPr>
          <w:sz w:val="24"/>
        </w:rPr>
        <w:t>Deliveries of packs o</w:t>
      </w:r>
      <w:r>
        <w:rPr>
          <w:sz w:val="24"/>
        </w:rPr>
        <w:t>f ten start week commencing 10</w:t>
      </w:r>
      <w:r w:rsidRPr="007E2C6D">
        <w:rPr>
          <w:sz w:val="24"/>
        </w:rPr>
        <w:t xml:space="preserve"> September 2018</w:t>
      </w:r>
    </w:p>
    <w:p w:rsidR="006D4D0A" w:rsidRDefault="006D4D0A" w:rsidP="006D4D0A">
      <w:pPr>
        <w:pStyle w:val="NoSpacing"/>
        <w:numPr>
          <w:ilvl w:val="0"/>
          <w:numId w:val="1"/>
        </w:numPr>
        <w:rPr>
          <w:sz w:val="24"/>
        </w:rPr>
      </w:pPr>
      <w:r w:rsidRPr="007E2C6D">
        <w:rPr>
          <w:sz w:val="24"/>
        </w:rPr>
        <w:t xml:space="preserve">Surgeries </w:t>
      </w:r>
      <w:r w:rsidR="00EB67BF" w:rsidRPr="007E2C6D">
        <w:rPr>
          <w:sz w:val="24"/>
        </w:rPr>
        <w:t>can</w:t>
      </w:r>
      <w:r w:rsidRPr="007E2C6D">
        <w:rPr>
          <w:sz w:val="24"/>
        </w:rPr>
        <w:t xml:space="preserve"> opt to take 100-200 doses in single packs. Historically, single packs are normally earlier to clear through the batch release process. If they do in 2018, Pfizer will email each practice that takes this option to inform them of the earlier delivery date (i.e.: before w/c 10</w:t>
      </w:r>
      <w:r>
        <w:rPr>
          <w:sz w:val="24"/>
        </w:rPr>
        <w:t xml:space="preserve"> Sep</w:t>
      </w:r>
      <w:r w:rsidRPr="007E2C6D">
        <w:rPr>
          <w:sz w:val="24"/>
        </w:rPr>
        <w:t xml:space="preserve"> 2018). Singles will be delivered by Pfizer in the same week that </w:t>
      </w:r>
      <w:r w:rsidR="00EB67BF">
        <w:rPr>
          <w:sz w:val="24"/>
        </w:rPr>
        <w:t>they</w:t>
      </w:r>
      <w:r w:rsidRPr="007E2C6D">
        <w:rPr>
          <w:sz w:val="24"/>
        </w:rPr>
        <w:t xml:space="preserve"> deliver direct to retail pharmacies</w:t>
      </w:r>
    </w:p>
    <w:p w:rsidR="006D4D0A" w:rsidRDefault="006D4D0A" w:rsidP="006D4D0A">
      <w:pPr>
        <w:pStyle w:val="NoSpacing"/>
        <w:numPr>
          <w:ilvl w:val="0"/>
          <w:numId w:val="1"/>
        </w:numPr>
        <w:rPr>
          <w:sz w:val="24"/>
        </w:rPr>
      </w:pPr>
      <w:r w:rsidRPr="007E2C6D">
        <w:rPr>
          <w:sz w:val="24"/>
        </w:rPr>
        <w:t>10% reserve (up to max 200 doses) if ordering by 31 December 2017</w:t>
      </w:r>
    </w:p>
    <w:p w:rsidR="006D4D0A" w:rsidRDefault="006D4D0A" w:rsidP="006D4D0A">
      <w:pPr>
        <w:pStyle w:val="NoSpacing"/>
        <w:numPr>
          <w:ilvl w:val="0"/>
          <w:numId w:val="1"/>
        </w:numPr>
        <w:rPr>
          <w:sz w:val="24"/>
        </w:rPr>
      </w:pPr>
      <w:r w:rsidRPr="007E2C6D">
        <w:rPr>
          <w:sz w:val="24"/>
        </w:rPr>
        <w:t>Orders can be varied +/- 15% up to 4 weeks prior to delivery</w:t>
      </w:r>
    </w:p>
    <w:p w:rsidR="006D4D0A" w:rsidRDefault="006D4D0A" w:rsidP="006D4D0A">
      <w:pPr>
        <w:pStyle w:val="NoSpacing"/>
        <w:numPr>
          <w:ilvl w:val="0"/>
          <w:numId w:val="1"/>
        </w:numPr>
        <w:rPr>
          <w:sz w:val="24"/>
        </w:rPr>
      </w:pPr>
      <w:r w:rsidRPr="007E2C6D">
        <w:rPr>
          <w:sz w:val="24"/>
        </w:rPr>
        <w:t>Named day cold chain delivery – you name the week and we will tell you the actual day it will arrive</w:t>
      </w:r>
    </w:p>
    <w:p w:rsidR="006D4D0A" w:rsidRDefault="006D4D0A" w:rsidP="006D4D0A">
      <w:pPr>
        <w:pStyle w:val="NoSpacing"/>
        <w:numPr>
          <w:ilvl w:val="0"/>
          <w:numId w:val="1"/>
        </w:numPr>
        <w:rPr>
          <w:sz w:val="24"/>
        </w:rPr>
      </w:pPr>
      <w:r w:rsidRPr="007E2C6D">
        <w:rPr>
          <w:sz w:val="24"/>
        </w:rPr>
        <w:t>Personal nominated account manager</w:t>
      </w:r>
    </w:p>
    <w:p w:rsidR="006D4D0A" w:rsidRDefault="006D4D0A" w:rsidP="006D4D0A">
      <w:pPr>
        <w:pStyle w:val="NoSpacing"/>
        <w:numPr>
          <w:ilvl w:val="0"/>
          <w:numId w:val="1"/>
        </w:numPr>
        <w:rPr>
          <w:sz w:val="24"/>
        </w:rPr>
      </w:pPr>
      <w:r w:rsidRPr="007E2C6D">
        <w:rPr>
          <w:sz w:val="24"/>
        </w:rPr>
        <w:t>100 dose minimum delivery volume</w:t>
      </w:r>
    </w:p>
    <w:p w:rsidR="006D4D0A" w:rsidRDefault="006D4D0A" w:rsidP="006D4D0A">
      <w:pPr>
        <w:pStyle w:val="NoSpacing"/>
        <w:numPr>
          <w:ilvl w:val="0"/>
          <w:numId w:val="1"/>
        </w:numPr>
        <w:rPr>
          <w:sz w:val="24"/>
        </w:rPr>
      </w:pPr>
      <w:r w:rsidRPr="007E2C6D">
        <w:rPr>
          <w:sz w:val="24"/>
        </w:rPr>
        <w:t>Range of support materials</w:t>
      </w:r>
    </w:p>
    <w:p w:rsidR="006D4D0A" w:rsidRDefault="006D4D0A" w:rsidP="006D4D0A">
      <w:pPr>
        <w:pStyle w:val="NoSpacing"/>
        <w:numPr>
          <w:ilvl w:val="0"/>
          <w:numId w:val="1"/>
        </w:numPr>
        <w:rPr>
          <w:sz w:val="24"/>
        </w:rPr>
      </w:pPr>
      <w:r w:rsidRPr="007E2C6D">
        <w:rPr>
          <w:sz w:val="24"/>
        </w:rPr>
        <w:t>120 days’ credit from each invoice date</w:t>
      </w:r>
    </w:p>
    <w:p w:rsidR="006D4D0A" w:rsidRDefault="006D4D0A" w:rsidP="006D4D0A">
      <w:pPr>
        <w:pStyle w:val="NoSpacing"/>
        <w:numPr>
          <w:ilvl w:val="0"/>
          <w:numId w:val="1"/>
        </w:numPr>
        <w:rPr>
          <w:sz w:val="24"/>
        </w:rPr>
      </w:pPr>
      <w:r w:rsidRPr="007E2C6D">
        <w:rPr>
          <w:sz w:val="24"/>
        </w:rPr>
        <w:t>To receive the maximum pre</w:t>
      </w:r>
      <w:r>
        <w:rPr>
          <w:sz w:val="24"/>
        </w:rPr>
        <w:t>-Christ</w:t>
      </w:r>
      <w:r w:rsidRPr="007E2C6D">
        <w:rPr>
          <w:sz w:val="24"/>
        </w:rPr>
        <w:t>mas discount Pfizer’s order confirmation must be signed and returned by 31 December 2017 or they will revert to the post-</w:t>
      </w:r>
      <w:r>
        <w:rPr>
          <w:sz w:val="24"/>
        </w:rPr>
        <w:t>Christma</w:t>
      </w:r>
      <w:r w:rsidRPr="007E2C6D">
        <w:rPr>
          <w:sz w:val="24"/>
        </w:rPr>
        <w:t>s offer and delivery dates may be changed/delayed</w:t>
      </w:r>
    </w:p>
    <w:p w:rsidR="006D4D0A" w:rsidRDefault="006D4D0A" w:rsidP="006D4D0A">
      <w:pPr>
        <w:pStyle w:val="NoSpacing"/>
        <w:numPr>
          <w:ilvl w:val="0"/>
          <w:numId w:val="1"/>
        </w:numPr>
        <w:rPr>
          <w:sz w:val="24"/>
        </w:rPr>
      </w:pPr>
      <w:r w:rsidRPr="00B11CA7">
        <w:rPr>
          <w:sz w:val="24"/>
        </w:rPr>
        <w:t>Any sale or return of vaccine must be notified to Pfizer by 28 February 2019</w:t>
      </w:r>
    </w:p>
    <w:p w:rsidR="006D4D0A" w:rsidRDefault="006D4D0A" w:rsidP="006D4D0A">
      <w:pPr>
        <w:pStyle w:val="NoSpacing"/>
        <w:numPr>
          <w:ilvl w:val="0"/>
          <w:numId w:val="1"/>
        </w:numPr>
        <w:rPr>
          <w:sz w:val="24"/>
        </w:rPr>
      </w:pPr>
      <w:r w:rsidRPr="00B11CA7">
        <w:rPr>
          <w:sz w:val="24"/>
        </w:rPr>
        <w:t>Any reserve vaccines will</w:t>
      </w:r>
      <w:r w:rsidR="00583823">
        <w:rPr>
          <w:sz w:val="24"/>
        </w:rPr>
        <w:t xml:space="preserve"> be</w:t>
      </w:r>
      <w:r w:rsidRPr="00B11CA7">
        <w:rPr>
          <w:sz w:val="24"/>
        </w:rPr>
        <w:t xml:space="preserve"> held until 19 October 2018</w:t>
      </w:r>
    </w:p>
    <w:p w:rsidR="006D4D0A" w:rsidRDefault="006D4D0A" w:rsidP="006D4D0A">
      <w:pPr>
        <w:pStyle w:val="NoSpacing"/>
        <w:numPr>
          <w:ilvl w:val="0"/>
          <w:numId w:val="1"/>
        </w:numPr>
        <w:rPr>
          <w:sz w:val="24"/>
        </w:rPr>
      </w:pPr>
      <w:r w:rsidRPr="00B11CA7">
        <w:rPr>
          <w:sz w:val="24"/>
        </w:rPr>
        <w:t>These offers are valid until 31</w:t>
      </w:r>
      <w:r>
        <w:rPr>
          <w:sz w:val="24"/>
        </w:rPr>
        <w:t xml:space="preserve"> May </w:t>
      </w:r>
      <w:r w:rsidRPr="00B11CA7">
        <w:rPr>
          <w:sz w:val="24"/>
        </w:rPr>
        <w:t>2018. After this date any discount will be at the discretion of Pfizer</w:t>
      </w:r>
      <w:r>
        <w:rPr>
          <w:sz w:val="24"/>
        </w:rPr>
        <w:t>.</w:t>
      </w:r>
    </w:p>
    <w:p w:rsidR="006D4D0A" w:rsidRPr="00B11CA7" w:rsidRDefault="006D4D0A" w:rsidP="006D4D0A">
      <w:pPr>
        <w:pStyle w:val="NoSpacing"/>
        <w:ind w:left="720"/>
        <w:rPr>
          <w:sz w:val="24"/>
        </w:rPr>
      </w:pPr>
    </w:p>
    <w:p w:rsidR="006D4D0A" w:rsidRDefault="006D4D0A" w:rsidP="006D4D0A">
      <w:pPr>
        <w:spacing w:after="0" w:line="240" w:lineRule="auto"/>
        <w:jc w:val="center"/>
        <w:rPr>
          <w:rFonts w:eastAsia="Times New Roman" w:cs="Times New Roman"/>
          <w:b/>
          <w:color w:val="7030A0"/>
          <w:sz w:val="36"/>
          <w:szCs w:val="32"/>
        </w:rPr>
      </w:pPr>
      <w:r w:rsidRPr="00032990">
        <w:rPr>
          <w:rFonts w:eastAsia="Times New Roman" w:cs="Times New Roman"/>
          <w:b/>
          <w:color w:val="7030A0"/>
          <w:sz w:val="36"/>
          <w:szCs w:val="32"/>
        </w:rPr>
        <w:lastRenderedPageBreak/>
        <w:t>Pfizer Vaccines</w:t>
      </w:r>
    </w:p>
    <w:p w:rsidR="006D4D0A" w:rsidRPr="00032990" w:rsidRDefault="006D4D0A" w:rsidP="006D4D0A">
      <w:pPr>
        <w:spacing w:after="0" w:line="240" w:lineRule="auto"/>
        <w:jc w:val="center"/>
        <w:rPr>
          <w:rFonts w:eastAsia="Times New Roman" w:cs="Times New Roman"/>
          <w:b/>
          <w:color w:val="7030A0"/>
          <w:sz w:val="36"/>
          <w:szCs w:val="32"/>
        </w:rPr>
      </w:pPr>
    </w:p>
    <w:p w:rsidR="006D4D0A" w:rsidRPr="00032990" w:rsidRDefault="006D4D0A" w:rsidP="006D4D0A">
      <w:pPr>
        <w:spacing w:after="0" w:line="240" w:lineRule="auto"/>
        <w:jc w:val="center"/>
        <w:rPr>
          <w:rFonts w:eastAsia="Times New Roman" w:cs="Times New Roman"/>
          <w:b/>
          <w:sz w:val="32"/>
          <w:szCs w:val="32"/>
        </w:rPr>
      </w:pPr>
      <w:proofErr w:type="spellStart"/>
      <w:r w:rsidRPr="00032990">
        <w:rPr>
          <w:rFonts w:eastAsia="Times New Roman" w:cs="Times New Roman"/>
          <w:b/>
          <w:sz w:val="32"/>
          <w:szCs w:val="32"/>
        </w:rPr>
        <w:t>Enzira</w:t>
      </w:r>
      <w:proofErr w:type="spellEnd"/>
      <w:r w:rsidRPr="00032990">
        <w:rPr>
          <w:rFonts w:eastAsia="Times New Roman" w:cs="Times New Roman"/>
          <w:b/>
          <w:sz w:val="32"/>
          <w:szCs w:val="32"/>
        </w:rPr>
        <w:t xml:space="preserve"> </w:t>
      </w:r>
      <w:bookmarkStart w:id="1" w:name="_Hlk496542594"/>
      <w:r w:rsidRPr="00032990">
        <w:rPr>
          <w:rFonts w:eastAsia="Times New Roman" w:cs="Times New Roman"/>
          <w:b/>
          <w:sz w:val="32"/>
          <w:szCs w:val="32"/>
        </w:rPr>
        <w:t>(low cost alternative)</w:t>
      </w:r>
      <w:bookmarkEnd w:id="1"/>
    </w:p>
    <w:p w:rsidR="006D4D0A" w:rsidRPr="00032990" w:rsidRDefault="006D4D0A" w:rsidP="006D4D0A">
      <w:pPr>
        <w:spacing w:after="0" w:line="240" w:lineRule="auto"/>
        <w:jc w:val="center"/>
        <w:rPr>
          <w:rFonts w:eastAsia="Times New Roman" w:cs="Times New Roman"/>
          <w:b/>
        </w:rPr>
      </w:pPr>
    </w:p>
    <w:tbl>
      <w:tblPr>
        <w:tblStyle w:val="TableGrid"/>
        <w:tblW w:w="8642" w:type="dxa"/>
        <w:tblLook w:val="04A0" w:firstRow="1" w:lastRow="0" w:firstColumn="1" w:lastColumn="0" w:noHBand="0" w:noVBand="1"/>
      </w:tblPr>
      <w:tblGrid>
        <w:gridCol w:w="3378"/>
        <w:gridCol w:w="2713"/>
        <w:gridCol w:w="2551"/>
      </w:tblGrid>
      <w:tr w:rsidR="006D4D0A" w:rsidRPr="00032990" w:rsidTr="002B7BE5">
        <w:tc>
          <w:tcPr>
            <w:tcW w:w="0" w:type="auto"/>
          </w:tcPr>
          <w:p w:rsidR="006D4D0A" w:rsidRPr="00032990" w:rsidRDefault="006D4D0A" w:rsidP="002B7BE5">
            <w:pPr>
              <w:jc w:val="center"/>
              <w:rPr>
                <w:rFonts w:eastAsia="Times New Roman" w:cs="Times New Roman"/>
                <w:b/>
                <w:sz w:val="24"/>
              </w:rPr>
            </w:pPr>
          </w:p>
        </w:tc>
        <w:tc>
          <w:tcPr>
            <w:tcW w:w="2713" w:type="dxa"/>
          </w:tcPr>
          <w:p w:rsidR="006D4D0A" w:rsidRPr="00032990" w:rsidRDefault="006D4D0A" w:rsidP="002B7BE5">
            <w:pPr>
              <w:jc w:val="center"/>
              <w:rPr>
                <w:rFonts w:eastAsia="Times New Roman" w:cs="Times New Roman"/>
                <w:b/>
                <w:sz w:val="24"/>
              </w:rPr>
            </w:pPr>
            <w:r w:rsidRPr="00032990">
              <w:rPr>
                <w:rFonts w:eastAsia="Times New Roman" w:cs="Times New Roman"/>
                <w:b/>
                <w:sz w:val="24"/>
              </w:rPr>
              <w:t xml:space="preserve">Ordered before </w:t>
            </w:r>
            <w:r>
              <w:rPr>
                <w:rFonts w:eastAsia="Times New Roman" w:cs="Times New Roman"/>
                <w:b/>
                <w:sz w:val="24"/>
              </w:rPr>
              <w:t>31 Dec (48.7%)</w:t>
            </w:r>
          </w:p>
        </w:tc>
        <w:tc>
          <w:tcPr>
            <w:tcW w:w="2551" w:type="dxa"/>
          </w:tcPr>
          <w:p w:rsidR="006D4D0A" w:rsidRPr="00032990" w:rsidRDefault="006D4D0A" w:rsidP="002B7BE5">
            <w:pPr>
              <w:jc w:val="center"/>
              <w:rPr>
                <w:rFonts w:eastAsia="Times New Roman" w:cs="Times New Roman"/>
                <w:b/>
                <w:sz w:val="24"/>
              </w:rPr>
            </w:pPr>
            <w:r>
              <w:rPr>
                <w:rFonts w:eastAsia="Times New Roman" w:cs="Times New Roman"/>
                <w:b/>
                <w:sz w:val="24"/>
              </w:rPr>
              <w:t>Ordered after 31 Dec</w:t>
            </w:r>
          </w:p>
          <w:p w:rsidR="006D4D0A" w:rsidRPr="00032990" w:rsidRDefault="006D4D0A" w:rsidP="002B7BE5">
            <w:pPr>
              <w:jc w:val="center"/>
              <w:rPr>
                <w:rFonts w:eastAsia="Times New Roman" w:cs="Times New Roman"/>
                <w:b/>
                <w:sz w:val="24"/>
              </w:rPr>
            </w:pPr>
            <w:r w:rsidRPr="00032990">
              <w:rPr>
                <w:rFonts w:eastAsia="Times New Roman" w:cs="Times New Roman"/>
                <w:b/>
                <w:sz w:val="24"/>
              </w:rPr>
              <w:t>(</w:t>
            </w:r>
            <w:r>
              <w:rPr>
                <w:rFonts w:eastAsia="Times New Roman" w:cs="Times New Roman"/>
                <w:b/>
                <w:sz w:val="24"/>
              </w:rPr>
              <w:t>47.7</w:t>
            </w:r>
            <w:r w:rsidRPr="00032990">
              <w:rPr>
                <w:rFonts w:eastAsia="Times New Roman" w:cs="Times New Roman"/>
                <w:b/>
                <w:sz w:val="24"/>
              </w:rPr>
              <w:t>%)</w:t>
            </w:r>
          </w:p>
        </w:tc>
      </w:tr>
      <w:tr w:rsidR="006D4D0A" w:rsidRPr="00032990" w:rsidTr="002B7BE5">
        <w:tc>
          <w:tcPr>
            <w:tcW w:w="0" w:type="auto"/>
          </w:tcPr>
          <w:p w:rsidR="006D4D0A" w:rsidRPr="00032990" w:rsidRDefault="006D4D0A" w:rsidP="002B7BE5">
            <w:pPr>
              <w:jc w:val="center"/>
              <w:rPr>
                <w:rFonts w:eastAsia="Times New Roman" w:cs="Times New Roman"/>
                <w:sz w:val="24"/>
              </w:rPr>
            </w:pPr>
            <w:r w:rsidRPr="00032990">
              <w:rPr>
                <w:rFonts w:eastAsia="Times New Roman" w:cs="Times New Roman"/>
                <w:sz w:val="24"/>
              </w:rPr>
              <w:t>NHS Price</w:t>
            </w:r>
          </w:p>
        </w:tc>
        <w:tc>
          <w:tcPr>
            <w:tcW w:w="2713" w:type="dxa"/>
          </w:tcPr>
          <w:p w:rsidR="006D4D0A" w:rsidRPr="00032990" w:rsidRDefault="006D4D0A" w:rsidP="002B7BE5">
            <w:pPr>
              <w:jc w:val="center"/>
              <w:rPr>
                <w:rFonts w:eastAsia="Times New Roman" w:cs="Times New Roman"/>
                <w:sz w:val="24"/>
              </w:rPr>
            </w:pPr>
            <w:r w:rsidRPr="00032990">
              <w:rPr>
                <w:rFonts w:eastAsia="Times New Roman" w:cs="Times New Roman"/>
                <w:sz w:val="24"/>
              </w:rPr>
              <w:t>£5.25</w:t>
            </w:r>
          </w:p>
        </w:tc>
        <w:tc>
          <w:tcPr>
            <w:tcW w:w="2551" w:type="dxa"/>
          </w:tcPr>
          <w:p w:rsidR="006D4D0A" w:rsidRPr="00032990" w:rsidRDefault="006D4D0A" w:rsidP="002B7BE5">
            <w:pPr>
              <w:jc w:val="center"/>
              <w:rPr>
                <w:rFonts w:eastAsia="Times New Roman" w:cs="Times New Roman"/>
                <w:sz w:val="24"/>
              </w:rPr>
            </w:pPr>
            <w:r w:rsidRPr="00032990">
              <w:rPr>
                <w:rFonts w:eastAsia="Times New Roman" w:cs="Times New Roman"/>
                <w:sz w:val="24"/>
              </w:rPr>
              <w:t>£5.25</w:t>
            </w:r>
          </w:p>
        </w:tc>
      </w:tr>
      <w:tr w:rsidR="006D4D0A" w:rsidRPr="00032990" w:rsidTr="002B7BE5">
        <w:tc>
          <w:tcPr>
            <w:tcW w:w="0" w:type="auto"/>
          </w:tcPr>
          <w:p w:rsidR="006D4D0A" w:rsidRPr="00032990" w:rsidRDefault="006D4D0A" w:rsidP="002B7BE5">
            <w:pPr>
              <w:jc w:val="center"/>
              <w:rPr>
                <w:rFonts w:eastAsia="Times New Roman" w:cs="Times New Roman"/>
                <w:sz w:val="24"/>
              </w:rPr>
            </w:pPr>
            <w:r w:rsidRPr="00032990">
              <w:rPr>
                <w:rFonts w:eastAsia="Times New Roman" w:cs="Times New Roman"/>
                <w:sz w:val="24"/>
              </w:rPr>
              <w:t>Dispensing Fee*</w:t>
            </w:r>
          </w:p>
        </w:tc>
        <w:tc>
          <w:tcPr>
            <w:tcW w:w="2713" w:type="dxa"/>
          </w:tcPr>
          <w:p w:rsidR="006D4D0A" w:rsidRDefault="006D4D0A" w:rsidP="002B7BE5">
            <w:pPr>
              <w:jc w:val="center"/>
            </w:pPr>
            <w:r w:rsidRPr="00AB1C45">
              <w:rPr>
                <w:rFonts w:eastAsia="Times New Roman" w:cs="Times New Roman"/>
                <w:sz w:val="24"/>
                <w:szCs w:val="24"/>
              </w:rPr>
              <w:t>£2.209</w:t>
            </w:r>
          </w:p>
        </w:tc>
        <w:tc>
          <w:tcPr>
            <w:tcW w:w="2551" w:type="dxa"/>
          </w:tcPr>
          <w:p w:rsidR="006D4D0A" w:rsidRDefault="006D4D0A" w:rsidP="002B7BE5">
            <w:pPr>
              <w:jc w:val="center"/>
            </w:pPr>
            <w:r w:rsidRPr="00AB1C45">
              <w:rPr>
                <w:rFonts w:eastAsia="Times New Roman" w:cs="Times New Roman"/>
                <w:sz w:val="24"/>
                <w:szCs w:val="24"/>
              </w:rPr>
              <w:t>£2.209</w:t>
            </w:r>
          </w:p>
        </w:tc>
      </w:tr>
      <w:tr w:rsidR="006D4D0A" w:rsidRPr="00032990" w:rsidTr="002B7BE5">
        <w:tc>
          <w:tcPr>
            <w:tcW w:w="0" w:type="auto"/>
          </w:tcPr>
          <w:p w:rsidR="006D4D0A" w:rsidRPr="00032990" w:rsidRDefault="006D4D0A" w:rsidP="002B7BE5">
            <w:pPr>
              <w:jc w:val="center"/>
              <w:rPr>
                <w:rFonts w:eastAsia="Times New Roman" w:cs="Times New Roman"/>
                <w:sz w:val="24"/>
              </w:rPr>
            </w:pPr>
            <w:r w:rsidRPr="00032990">
              <w:rPr>
                <w:rFonts w:eastAsia="Times New Roman" w:cs="Times New Roman"/>
                <w:sz w:val="24"/>
              </w:rPr>
              <w:t>VAT (20%)</w:t>
            </w:r>
          </w:p>
        </w:tc>
        <w:tc>
          <w:tcPr>
            <w:tcW w:w="2713" w:type="dxa"/>
          </w:tcPr>
          <w:p w:rsidR="006D4D0A" w:rsidRPr="00032990" w:rsidRDefault="006D4D0A" w:rsidP="002B7BE5">
            <w:pPr>
              <w:jc w:val="center"/>
              <w:rPr>
                <w:rFonts w:ascii="Arial" w:eastAsia="Times New Roman" w:hAnsi="Arial" w:cs="Times New Roman"/>
                <w:sz w:val="24"/>
                <w:szCs w:val="20"/>
              </w:rPr>
            </w:pPr>
            <w:r w:rsidRPr="00032990">
              <w:rPr>
                <w:rFonts w:eastAsia="Times New Roman" w:cs="Times New Roman"/>
                <w:sz w:val="24"/>
              </w:rPr>
              <w:t>£1.05</w:t>
            </w:r>
          </w:p>
        </w:tc>
        <w:tc>
          <w:tcPr>
            <w:tcW w:w="2551" w:type="dxa"/>
          </w:tcPr>
          <w:p w:rsidR="006D4D0A" w:rsidRPr="00032990" w:rsidRDefault="006D4D0A" w:rsidP="002B7BE5">
            <w:pPr>
              <w:jc w:val="center"/>
              <w:rPr>
                <w:rFonts w:ascii="Arial" w:eastAsia="Times New Roman" w:hAnsi="Arial" w:cs="Times New Roman"/>
                <w:sz w:val="24"/>
                <w:szCs w:val="20"/>
              </w:rPr>
            </w:pPr>
            <w:r w:rsidRPr="00032990">
              <w:rPr>
                <w:rFonts w:eastAsia="Times New Roman" w:cs="Times New Roman"/>
                <w:sz w:val="24"/>
              </w:rPr>
              <w:t>£1.05</w:t>
            </w:r>
          </w:p>
        </w:tc>
      </w:tr>
      <w:tr w:rsidR="006D4D0A" w:rsidRPr="00032990" w:rsidTr="002B7BE5">
        <w:tc>
          <w:tcPr>
            <w:tcW w:w="0" w:type="auto"/>
          </w:tcPr>
          <w:p w:rsidR="006D4D0A" w:rsidRPr="00032990" w:rsidRDefault="006D4D0A" w:rsidP="002B7BE5">
            <w:pPr>
              <w:jc w:val="center"/>
              <w:rPr>
                <w:rFonts w:eastAsia="Times New Roman" w:cs="Times New Roman"/>
                <w:b/>
                <w:sz w:val="28"/>
              </w:rPr>
            </w:pPr>
            <w:r w:rsidRPr="00032990">
              <w:rPr>
                <w:rFonts w:eastAsia="Times New Roman" w:cs="Times New Roman"/>
                <w:b/>
                <w:sz w:val="28"/>
              </w:rPr>
              <w:t>Total NHS Reimbursement</w:t>
            </w:r>
          </w:p>
        </w:tc>
        <w:tc>
          <w:tcPr>
            <w:tcW w:w="2713" w:type="dxa"/>
          </w:tcPr>
          <w:p w:rsidR="006D4D0A" w:rsidRPr="00032990" w:rsidRDefault="006D4D0A" w:rsidP="002B7BE5">
            <w:pPr>
              <w:jc w:val="center"/>
              <w:rPr>
                <w:rFonts w:ascii="Arial" w:eastAsia="Times New Roman" w:hAnsi="Arial" w:cs="Times New Roman"/>
                <w:b/>
                <w:sz w:val="28"/>
                <w:szCs w:val="20"/>
              </w:rPr>
            </w:pPr>
            <w:r w:rsidRPr="00032990">
              <w:rPr>
                <w:rFonts w:eastAsia="Times New Roman" w:cs="Times New Roman"/>
                <w:b/>
                <w:sz w:val="28"/>
              </w:rPr>
              <w:t>£8.</w:t>
            </w:r>
            <w:r>
              <w:rPr>
                <w:rFonts w:eastAsia="Times New Roman" w:cs="Times New Roman"/>
                <w:b/>
                <w:sz w:val="28"/>
              </w:rPr>
              <w:t>51</w:t>
            </w:r>
          </w:p>
        </w:tc>
        <w:tc>
          <w:tcPr>
            <w:tcW w:w="2551" w:type="dxa"/>
          </w:tcPr>
          <w:p w:rsidR="006D4D0A" w:rsidRPr="00032990" w:rsidRDefault="006D4D0A" w:rsidP="002B7BE5">
            <w:pPr>
              <w:jc w:val="center"/>
              <w:rPr>
                <w:rFonts w:ascii="Arial" w:eastAsia="Times New Roman" w:hAnsi="Arial" w:cs="Times New Roman"/>
                <w:b/>
                <w:sz w:val="28"/>
                <w:szCs w:val="20"/>
              </w:rPr>
            </w:pPr>
            <w:r>
              <w:rPr>
                <w:rFonts w:eastAsia="Times New Roman" w:cs="Times New Roman"/>
                <w:b/>
                <w:sz w:val="28"/>
              </w:rPr>
              <w:t>£8.51</w:t>
            </w:r>
          </w:p>
        </w:tc>
      </w:tr>
      <w:tr w:rsidR="006D4D0A" w:rsidRPr="00032990" w:rsidTr="002B7BE5">
        <w:tc>
          <w:tcPr>
            <w:tcW w:w="0" w:type="auto"/>
          </w:tcPr>
          <w:p w:rsidR="006D4D0A" w:rsidRPr="00032990" w:rsidRDefault="006D4D0A" w:rsidP="002B7BE5">
            <w:pPr>
              <w:jc w:val="center"/>
              <w:rPr>
                <w:rFonts w:eastAsia="Times New Roman" w:cs="Times New Roman"/>
                <w:sz w:val="24"/>
              </w:rPr>
            </w:pPr>
            <w:r w:rsidRPr="00032990">
              <w:rPr>
                <w:rFonts w:eastAsia="Times New Roman" w:cs="Times New Roman"/>
                <w:sz w:val="24"/>
              </w:rPr>
              <w:t>Actual cost after discount</w:t>
            </w:r>
          </w:p>
        </w:tc>
        <w:tc>
          <w:tcPr>
            <w:tcW w:w="2713" w:type="dxa"/>
          </w:tcPr>
          <w:p w:rsidR="006D4D0A" w:rsidRPr="00032990" w:rsidRDefault="006D4D0A" w:rsidP="002B7BE5">
            <w:pPr>
              <w:jc w:val="center"/>
              <w:rPr>
                <w:rFonts w:eastAsia="Times New Roman" w:cs="Times New Roman"/>
                <w:sz w:val="24"/>
              </w:rPr>
            </w:pPr>
            <w:r w:rsidRPr="00032990">
              <w:rPr>
                <w:rFonts w:eastAsia="Times New Roman" w:cs="Times New Roman"/>
                <w:sz w:val="24"/>
              </w:rPr>
              <w:t>£2.</w:t>
            </w:r>
            <w:r>
              <w:rPr>
                <w:rFonts w:eastAsia="Times New Roman" w:cs="Times New Roman"/>
                <w:sz w:val="24"/>
              </w:rPr>
              <w:t>69</w:t>
            </w:r>
          </w:p>
        </w:tc>
        <w:tc>
          <w:tcPr>
            <w:tcW w:w="2551" w:type="dxa"/>
          </w:tcPr>
          <w:p w:rsidR="006D4D0A" w:rsidRPr="00032990" w:rsidRDefault="006D4D0A" w:rsidP="002B7BE5">
            <w:pPr>
              <w:jc w:val="center"/>
              <w:rPr>
                <w:rFonts w:eastAsia="Times New Roman" w:cs="Times New Roman"/>
                <w:sz w:val="24"/>
              </w:rPr>
            </w:pPr>
            <w:r w:rsidRPr="00032990">
              <w:rPr>
                <w:rFonts w:eastAsia="Times New Roman" w:cs="Times New Roman"/>
                <w:sz w:val="24"/>
              </w:rPr>
              <w:t>£2.</w:t>
            </w:r>
            <w:r>
              <w:rPr>
                <w:rFonts w:eastAsia="Times New Roman" w:cs="Times New Roman"/>
                <w:sz w:val="24"/>
              </w:rPr>
              <w:t>75</w:t>
            </w:r>
          </w:p>
        </w:tc>
      </w:tr>
      <w:tr w:rsidR="006D4D0A" w:rsidRPr="00032990" w:rsidTr="002B7BE5">
        <w:tc>
          <w:tcPr>
            <w:tcW w:w="0" w:type="auto"/>
          </w:tcPr>
          <w:p w:rsidR="006D4D0A" w:rsidRPr="00032990" w:rsidRDefault="006D4D0A" w:rsidP="002B7BE5">
            <w:pPr>
              <w:jc w:val="center"/>
              <w:rPr>
                <w:rFonts w:eastAsia="Times New Roman" w:cs="Times New Roman"/>
                <w:sz w:val="24"/>
              </w:rPr>
            </w:pPr>
            <w:r w:rsidRPr="00032990">
              <w:rPr>
                <w:rFonts w:eastAsia="Times New Roman" w:cs="Times New Roman"/>
                <w:sz w:val="24"/>
              </w:rPr>
              <w:t>VAT (20%)</w:t>
            </w:r>
          </w:p>
        </w:tc>
        <w:tc>
          <w:tcPr>
            <w:tcW w:w="2713" w:type="dxa"/>
          </w:tcPr>
          <w:p w:rsidR="006D4D0A" w:rsidRPr="00032990" w:rsidRDefault="006D4D0A" w:rsidP="002B7BE5">
            <w:pPr>
              <w:jc w:val="center"/>
              <w:rPr>
                <w:rFonts w:eastAsia="Times New Roman" w:cs="Times New Roman"/>
                <w:sz w:val="24"/>
              </w:rPr>
            </w:pPr>
            <w:r>
              <w:rPr>
                <w:rFonts w:eastAsia="Times New Roman" w:cs="Times New Roman"/>
                <w:sz w:val="24"/>
              </w:rPr>
              <w:t>£0.54</w:t>
            </w:r>
          </w:p>
        </w:tc>
        <w:tc>
          <w:tcPr>
            <w:tcW w:w="2551" w:type="dxa"/>
          </w:tcPr>
          <w:p w:rsidR="006D4D0A" w:rsidRPr="00032990" w:rsidRDefault="006D4D0A" w:rsidP="002B7BE5">
            <w:pPr>
              <w:jc w:val="center"/>
              <w:rPr>
                <w:rFonts w:eastAsia="Times New Roman" w:cs="Times New Roman"/>
                <w:sz w:val="24"/>
              </w:rPr>
            </w:pPr>
            <w:r>
              <w:rPr>
                <w:rFonts w:eastAsia="Times New Roman" w:cs="Times New Roman"/>
                <w:sz w:val="24"/>
              </w:rPr>
              <w:t>£0.55</w:t>
            </w:r>
          </w:p>
        </w:tc>
      </w:tr>
      <w:tr w:rsidR="006D4D0A" w:rsidRPr="00032990" w:rsidTr="002B7BE5">
        <w:tc>
          <w:tcPr>
            <w:tcW w:w="0" w:type="auto"/>
          </w:tcPr>
          <w:p w:rsidR="006D4D0A" w:rsidRPr="00032990" w:rsidRDefault="006D4D0A" w:rsidP="002B7BE5">
            <w:pPr>
              <w:jc w:val="center"/>
              <w:rPr>
                <w:rFonts w:eastAsia="Times New Roman" w:cs="Times New Roman"/>
                <w:sz w:val="24"/>
              </w:rPr>
            </w:pPr>
            <w:r w:rsidRPr="00032990">
              <w:rPr>
                <w:rFonts w:eastAsia="Times New Roman" w:cs="Times New Roman"/>
                <w:sz w:val="24"/>
              </w:rPr>
              <w:t>Total cost to practice</w:t>
            </w:r>
          </w:p>
        </w:tc>
        <w:tc>
          <w:tcPr>
            <w:tcW w:w="2713" w:type="dxa"/>
          </w:tcPr>
          <w:p w:rsidR="006D4D0A" w:rsidRPr="00032990" w:rsidRDefault="006D4D0A" w:rsidP="002B7BE5">
            <w:pPr>
              <w:jc w:val="center"/>
              <w:rPr>
                <w:rFonts w:eastAsia="Times New Roman" w:cs="Times New Roman"/>
                <w:sz w:val="24"/>
              </w:rPr>
            </w:pPr>
            <w:r w:rsidRPr="00032990">
              <w:rPr>
                <w:rFonts w:eastAsia="Times New Roman" w:cs="Times New Roman"/>
                <w:sz w:val="24"/>
              </w:rPr>
              <w:t>£3.</w:t>
            </w:r>
            <w:r>
              <w:rPr>
                <w:rFonts w:eastAsia="Times New Roman" w:cs="Times New Roman"/>
                <w:sz w:val="24"/>
              </w:rPr>
              <w:t>23</w:t>
            </w:r>
          </w:p>
        </w:tc>
        <w:tc>
          <w:tcPr>
            <w:tcW w:w="2551" w:type="dxa"/>
          </w:tcPr>
          <w:p w:rsidR="006D4D0A" w:rsidRPr="00032990" w:rsidRDefault="006D4D0A" w:rsidP="002B7BE5">
            <w:pPr>
              <w:jc w:val="center"/>
              <w:rPr>
                <w:rFonts w:eastAsia="Times New Roman" w:cs="Times New Roman"/>
                <w:sz w:val="24"/>
              </w:rPr>
            </w:pPr>
            <w:r w:rsidRPr="00032990">
              <w:rPr>
                <w:rFonts w:eastAsia="Times New Roman" w:cs="Times New Roman"/>
                <w:sz w:val="24"/>
              </w:rPr>
              <w:t>£3.</w:t>
            </w:r>
            <w:r>
              <w:rPr>
                <w:rFonts w:eastAsia="Times New Roman" w:cs="Times New Roman"/>
                <w:sz w:val="24"/>
              </w:rPr>
              <w:t>30</w:t>
            </w:r>
          </w:p>
        </w:tc>
      </w:tr>
      <w:tr w:rsidR="006D4D0A" w:rsidRPr="00032990" w:rsidTr="002B7BE5">
        <w:tc>
          <w:tcPr>
            <w:tcW w:w="0" w:type="auto"/>
          </w:tcPr>
          <w:p w:rsidR="006D4D0A" w:rsidRPr="00032990" w:rsidRDefault="006D4D0A" w:rsidP="002B7BE5">
            <w:pPr>
              <w:jc w:val="center"/>
              <w:rPr>
                <w:rFonts w:eastAsia="Times New Roman" w:cs="Times New Roman"/>
                <w:b/>
                <w:sz w:val="28"/>
              </w:rPr>
            </w:pPr>
            <w:r w:rsidRPr="00032990">
              <w:rPr>
                <w:rFonts w:eastAsia="Times New Roman" w:cs="Times New Roman"/>
                <w:b/>
                <w:sz w:val="28"/>
              </w:rPr>
              <w:t>Total Profit Per Dose (PPD)</w:t>
            </w:r>
          </w:p>
        </w:tc>
        <w:tc>
          <w:tcPr>
            <w:tcW w:w="2713" w:type="dxa"/>
          </w:tcPr>
          <w:p w:rsidR="006D4D0A" w:rsidRPr="00032990" w:rsidRDefault="006D4D0A" w:rsidP="002B7BE5">
            <w:pPr>
              <w:jc w:val="center"/>
              <w:rPr>
                <w:rFonts w:eastAsia="Times New Roman" w:cs="Times New Roman"/>
                <w:b/>
                <w:sz w:val="28"/>
              </w:rPr>
            </w:pPr>
            <w:r w:rsidRPr="00032990">
              <w:rPr>
                <w:rFonts w:eastAsia="Times New Roman" w:cs="Times New Roman"/>
                <w:b/>
                <w:sz w:val="28"/>
              </w:rPr>
              <w:t>£5.</w:t>
            </w:r>
            <w:r>
              <w:rPr>
                <w:rFonts w:eastAsia="Times New Roman" w:cs="Times New Roman"/>
                <w:b/>
                <w:sz w:val="28"/>
              </w:rPr>
              <w:t>28</w:t>
            </w:r>
          </w:p>
        </w:tc>
        <w:tc>
          <w:tcPr>
            <w:tcW w:w="2551" w:type="dxa"/>
          </w:tcPr>
          <w:p w:rsidR="006D4D0A" w:rsidRPr="00032990" w:rsidRDefault="006D4D0A" w:rsidP="002B7BE5">
            <w:pPr>
              <w:jc w:val="center"/>
              <w:rPr>
                <w:rFonts w:eastAsia="Times New Roman" w:cs="Times New Roman"/>
                <w:b/>
                <w:sz w:val="28"/>
              </w:rPr>
            </w:pPr>
            <w:r w:rsidRPr="00032990">
              <w:rPr>
                <w:rFonts w:eastAsia="Times New Roman" w:cs="Times New Roman"/>
                <w:b/>
                <w:sz w:val="28"/>
              </w:rPr>
              <w:t>£5.</w:t>
            </w:r>
            <w:r>
              <w:rPr>
                <w:rFonts w:eastAsia="Times New Roman" w:cs="Times New Roman"/>
                <w:b/>
                <w:sz w:val="28"/>
              </w:rPr>
              <w:t>21</w:t>
            </w:r>
          </w:p>
        </w:tc>
      </w:tr>
    </w:tbl>
    <w:p w:rsidR="006D4D0A" w:rsidRPr="00032990" w:rsidRDefault="006D4D0A" w:rsidP="006D4D0A">
      <w:pPr>
        <w:autoSpaceDE w:val="0"/>
        <w:autoSpaceDN w:val="0"/>
        <w:adjustRightInd w:val="0"/>
        <w:spacing w:after="0" w:line="240" w:lineRule="auto"/>
        <w:rPr>
          <w:rFonts w:ascii="Calibri" w:hAnsi="Calibri" w:cs="Calibri"/>
          <w:color w:val="000000"/>
          <w:sz w:val="24"/>
          <w:szCs w:val="24"/>
        </w:rPr>
      </w:pPr>
      <w:r w:rsidRPr="00032990">
        <w:rPr>
          <w:rFonts w:eastAsia="Times New Roman" w:cs="Times New Roman"/>
          <w:sz w:val="20"/>
        </w:rPr>
        <w:t>* The dispensing fee illustrated is for guidance purposes only and is based on a non-dispensing practice dispensing up to 4</w:t>
      </w:r>
      <w:r>
        <w:rPr>
          <w:rFonts w:eastAsia="Times New Roman" w:cs="Times New Roman"/>
          <w:sz w:val="20"/>
        </w:rPr>
        <w:t>57</w:t>
      </w:r>
      <w:r w:rsidRPr="00032990">
        <w:rPr>
          <w:rFonts w:eastAsia="Times New Roman" w:cs="Times New Roman"/>
          <w:sz w:val="20"/>
        </w:rPr>
        <w:t xml:space="preserve"> items a month under rules applying from 1 </w:t>
      </w:r>
      <w:r>
        <w:rPr>
          <w:rFonts w:eastAsia="Times New Roman" w:cs="Times New Roman"/>
          <w:sz w:val="20"/>
        </w:rPr>
        <w:t>October</w:t>
      </w:r>
      <w:r w:rsidRPr="00032990">
        <w:rPr>
          <w:rFonts w:eastAsia="Times New Roman" w:cs="Times New Roman"/>
          <w:sz w:val="20"/>
        </w:rPr>
        <w:t xml:space="preserve"> 2016 (see separate table).</w:t>
      </w:r>
    </w:p>
    <w:p w:rsidR="006D4D0A" w:rsidRPr="00032990" w:rsidRDefault="006D4D0A" w:rsidP="006D4D0A">
      <w:pPr>
        <w:spacing w:after="0" w:line="240" w:lineRule="auto"/>
        <w:rPr>
          <w:rFonts w:eastAsia="Times New Roman" w:cs="Times New Roman"/>
        </w:rPr>
      </w:pPr>
    </w:p>
    <w:p w:rsidR="006D4D0A" w:rsidRPr="00032990" w:rsidRDefault="006D4D0A" w:rsidP="006D4D0A">
      <w:pPr>
        <w:spacing w:after="0" w:line="240" w:lineRule="auto"/>
        <w:rPr>
          <w:rFonts w:eastAsia="Times New Roman" w:cs="Times New Roman"/>
          <w:b/>
        </w:rPr>
      </w:pPr>
      <w:r w:rsidRPr="00032990">
        <w:rPr>
          <w:rFonts w:eastAsia="Times New Roman" w:cs="Times New Roman"/>
          <w:b/>
        </w:rPr>
        <w:t>The terms are as per the generic vaccine above.</w:t>
      </w:r>
    </w:p>
    <w:p w:rsidR="006D4D0A" w:rsidRPr="00032990" w:rsidRDefault="006D4D0A" w:rsidP="006D4D0A">
      <w:pPr>
        <w:spacing w:after="0" w:line="240" w:lineRule="auto"/>
        <w:rPr>
          <w:rFonts w:eastAsia="Times New Roman" w:cs="Times New Roman"/>
        </w:rPr>
      </w:pPr>
    </w:p>
    <w:p w:rsidR="006D4D0A" w:rsidRPr="00032990" w:rsidRDefault="006D4D0A" w:rsidP="006D4D0A">
      <w:pPr>
        <w:spacing w:after="0" w:line="240" w:lineRule="auto"/>
        <w:rPr>
          <w:rFonts w:eastAsia="Times New Roman" w:cstheme="minorHAnsi"/>
          <w:b/>
          <w:sz w:val="28"/>
          <w:szCs w:val="20"/>
        </w:rPr>
      </w:pPr>
      <w:r w:rsidRPr="00032990">
        <w:rPr>
          <w:rFonts w:eastAsia="Times New Roman" w:cstheme="minorHAnsi"/>
          <w:b/>
          <w:sz w:val="28"/>
          <w:szCs w:val="20"/>
        </w:rPr>
        <w:t xml:space="preserve">Contact </w:t>
      </w:r>
      <w:r w:rsidR="00E75126">
        <w:rPr>
          <w:rFonts w:eastAsia="Times New Roman" w:cstheme="minorHAnsi"/>
          <w:b/>
          <w:sz w:val="28"/>
          <w:szCs w:val="20"/>
        </w:rPr>
        <w:t>Pfizer</w:t>
      </w:r>
    </w:p>
    <w:p w:rsidR="006D4D0A" w:rsidRPr="00032990" w:rsidRDefault="006D4D0A" w:rsidP="006D4D0A">
      <w:pPr>
        <w:spacing w:after="0" w:line="240" w:lineRule="auto"/>
        <w:rPr>
          <w:rFonts w:eastAsia="Times New Roman" w:cstheme="minorHAnsi"/>
          <w:b/>
          <w:sz w:val="28"/>
          <w:szCs w:val="20"/>
        </w:rPr>
      </w:pPr>
    </w:p>
    <w:p w:rsidR="006D4D0A" w:rsidRPr="00032990" w:rsidRDefault="006D4D0A" w:rsidP="006D4D0A">
      <w:pPr>
        <w:spacing w:after="0" w:line="240" w:lineRule="auto"/>
        <w:rPr>
          <w:rFonts w:eastAsia="Times New Roman" w:cstheme="minorHAnsi"/>
          <w:color w:val="0563C1" w:themeColor="hyperlink"/>
          <w:sz w:val="24"/>
          <w:szCs w:val="24"/>
          <w:u w:val="single"/>
        </w:rPr>
      </w:pPr>
      <w:r w:rsidRPr="00032990">
        <w:rPr>
          <w:rFonts w:eastAsia="Times New Roman" w:cstheme="minorHAnsi"/>
          <w:sz w:val="24"/>
          <w:szCs w:val="24"/>
        </w:rPr>
        <w:t xml:space="preserve">Tel: 0800 089 4033; Email: </w:t>
      </w:r>
      <w:hyperlink r:id="rId8" w:history="1">
        <w:r w:rsidRPr="00032990">
          <w:rPr>
            <w:rFonts w:eastAsia="Times New Roman" w:cstheme="minorHAnsi"/>
            <w:color w:val="0563C1" w:themeColor="hyperlink"/>
            <w:sz w:val="24"/>
            <w:szCs w:val="24"/>
            <w:u w:val="single"/>
          </w:rPr>
          <w:t>vaccinesuk@pfizer.com</w:t>
        </w:r>
      </w:hyperlink>
    </w:p>
    <w:p w:rsidR="006D4D0A" w:rsidRDefault="006D4D0A" w:rsidP="00D36ADC">
      <w:pPr>
        <w:pStyle w:val="NoSpacing"/>
        <w:rPr>
          <w:b/>
          <w:sz w:val="24"/>
        </w:rPr>
      </w:pPr>
    </w:p>
    <w:p w:rsidR="006D4D0A" w:rsidRDefault="006D4D0A" w:rsidP="00D36ADC">
      <w:pPr>
        <w:pStyle w:val="NoSpacing"/>
        <w:rPr>
          <w:b/>
          <w:sz w:val="24"/>
        </w:rPr>
      </w:pPr>
    </w:p>
    <w:p w:rsidR="006D4D0A" w:rsidRDefault="006D4D0A" w:rsidP="00D36ADC">
      <w:pPr>
        <w:pStyle w:val="NoSpacing"/>
        <w:rPr>
          <w:b/>
          <w:sz w:val="24"/>
        </w:rPr>
      </w:pPr>
    </w:p>
    <w:p w:rsidR="006D4D0A" w:rsidRDefault="006D4D0A" w:rsidP="00D36ADC">
      <w:pPr>
        <w:pStyle w:val="NoSpacing"/>
        <w:rPr>
          <w:b/>
          <w:sz w:val="24"/>
        </w:rPr>
      </w:pPr>
    </w:p>
    <w:p w:rsidR="006D4D0A" w:rsidRDefault="006D4D0A" w:rsidP="00D36ADC">
      <w:pPr>
        <w:pStyle w:val="NoSpacing"/>
        <w:rPr>
          <w:b/>
          <w:sz w:val="24"/>
        </w:rPr>
      </w:pPr>
    </w:p>
    <w:p w:rsidR="006D4D0A" w:rsidRDefault="006D4D0A" w:rsidP="00D36ADC">
      <w:pPr>
        <w:pStyle w:val="NoSpacing"/>
        <w:rPr>
          <w:b/>
          <w:sz w:val="24"/>
        </w:rPr>
      </w:pPr>
    </w:p>
    <w:p w:rsidR="006D4D0A" w:rsidRDefault="006D4D0A" w:rsidP="00D36ADC">
      <w:pPr>
        <w:pStyle w:val="NoSpacing"/>
        <w:rPr>
          <w:b/>
          <w:sz w:val="24"/>
        </w:rPr>
      </w:pPr>
    </w:p>
    <w:p w:rsidR="006D4D0A" w:rsidRDefault="006D4D0A" w:rsidP="00D36ADC">
      <w:pPr>
        <w:pStyle w:val="NoSpacing"/>
        <w:rPr>
          <w:b/>
          <w:sz w:val="24"/>
        </w:rPr>
      </w:pPr>
    </w:p>
    <w:p w:rsidR="006D4D0A" w:rsidRDefault="006D4D0A" w:rsidP="00D36ADC">
      <w:pPr>
        <w:pStyle w:val="NoSpacing"/>
        <w:rPr>
          <w:b/>
          <w:sz w:val="24"/>
        </w:rPr>
      </w:pPr>
    </w:p>
    <w:p w:rsidR="006D4D0A" w:rsidRDefault="006D4D0A" w:rsidP="00D36ADC">
      <w:pPr>
        <w:pStyle w:val="NoSpacing"/>
        <w:rPr>
          <w:b/>
          <w:sz w:val="24"/>
        </w:rPr>
      </w:pPr>
    </w:p>
    <w:p w:rsidR="006D4D0A" w:rsidRDefault="006D4D0A" w:rsidP="00D36ADC">
      <w:pPr>
        <w:pStyle w:val="NoSpacing"/>
        <w:rPr>
          <w:b/>
          <w:sz w:val="24"/>
        </w:rPr>
      </w:pPr>
    </w:p>
    <w:p w:rsidR="006D4D0A" w:rsidRDefault="006D4D0A" w:rsidP="00D36ADC">
      <w:pPr>
        <w:pStyle w:val="NoSpacing"/>
        <w:rPr>
          <w:b/>
          <w:sz w:val="24"/>
        </w:rPr>
      </w:pPr>
    </w:p>
    <w:p w:rsidR="006D4D0A" w:rsidRDefault="006D4D0A" w:rsidP="00D36ADC">
      <w:pPr>
        <w:pStyle w:val="NoSpacing"/>
        <w:rPr>
          <w:b/>
          <w:sz w:val="24"/>
        </w:rPr>
      </w:pPr>
    </w:p>
    <w:p w:rsidR="006D4D0A" w:rsidRDefault="006D4D0A" w:rsidP="00D36ADC">
      <w:pPr>
        <w:pStyle w:val="NoSpacing"/>
        <w:rPr>
          <w:b/>
          <w:sz w:val="24"/>
        </w:rPr>
      </w:pPr>
    </w:p>
    <w:p w:rsidR="006D4D0A" w:rsidRDefault="006D4D0A" w:rsidP="00D36ADC">
      <w:pPr>
        <w:pStyle w:val="NoSpacing"/>
        <w:rPr>
          <w:b/>
          <w:sz w:val="24"/>
        </w:rPr>
      </w:pPr>
    </w:p>
    <w:p w:rsidR="006D4D0A" w:rsidRDefault="006D4D0A" w:rsidP="00D36ADC">
      <w:pPr>
        <w:pStyle w:val="NoSpacing"/>
        <w:rPr>
          <w:b/>
          <w:sz w:val="24"/>
        </w:rPr>
      </w:pPr>
    </w:p>
    <w:p w:rsidR="006D4D0A" w:rsidRDefault="006D4D0A" w:rsidP="00D36ADC">
      <w:pPr>
        <w:pStyle w:val="NoSpacing"/>
        <w:rPr>
          <w:b/>
          <w:sz w:val="24"/>
        </w:rPr>
      </w:pPr>
    </w:p>
    <w:p w:rsidR="006D4D0A" w:rsidRDefault="006D4D0A" w:rsidP="00D36ADC">
      <w:pPr>
        <w:pStyle w:val="NoSpacing"/>
        <w:rPr>
          <w:b/>
          <w:sz w:val="24"/>
        </w:rPr>
      </w:pPr>
    </w:p>
    <w:p w:rsidR="006D4D0A" w:rsidRDefault="006D4D0A" w:rsidP="00D36ADC">
      <w:pPr>
        <w:pStyle w:val="NoSpacing"/>
        <w:rPr>
          <w:b/>
          <w:sz w:val="24"/>
        </w:rPr>
      </w:pPr>
    </w:p>
    <w:p w:rsidR="006D4D0A" w:rsidRDefault="006D4D0A" w:rsidP="00D36ADC">
      <w:pPr>
        <w:pStyle w:val="NoSpacing"/>
        <w:rPr>
          <w:b/>
          <w:sz w:val="24"/>
        </w:rPr>
      </w:pPr>
    </w:p>
    <w:p w:rsidR="006D4D0A" w:rsidRDefault="006D4D0A" w:rsidP="00D36ADC">
      <w:pPr>
        <w:pStyle w:val="NoSpacing"/>
        <w:rPr>
          <w:b/>
          <w:sz w:val="24"/>
        </w:rPr>
      </w:pPr>
    </w:p>
    <w:p w:rsidR="006D4D0A" w:rsidRDefault="006D4D0A" w:rsidP="00D36ADC">
      <w:pPr>
        <w:pStyle w:val="NoSpacing"/>
        <w:rPr>
          <w:b/>
          <w:sz w:val="24"/>
        </w:rPr>
      </w:pPr>
    </w:p>
    <w:p w:rsidR="006D4D0A" w:rsidRDefault="006D4D0A" w:rsidP="00D36ADC">
      <w:pPr>
        <w:pStyle w:val="NoSpacing"/>
        <w:rPr>
          <w:b/>
          <w:sz w:val="24"/>
        </w:rPr>
      </w:pPr>
    </w:p>
    <w:p w:rsidR="00CB41C9" w:rsidRPr="00253888" w:rsidRDefault="00CB41C9" w:rsidP="00CB41C9">
      <w:pPr>
        <w:pStyle w:val="NoSpacing"/>
        <w:jc w:val="center"/>
        <w:rPr>
          <w:b/>
          <w:color w:val="7030A0"/>
          <w:sz w:val="40"/>
        </w:rPr>
      </w:pPr>
      <w:r w:rsidRPr="00253888">
        <w:rPr>
          <w:b/>
          <w:color w:val="7030A0"/>
          <w:sz w:val="40"/>
        </w:rPr>
        <w:lastRenderedPageBreak/>
        <w:t>Mylan</w:t>
      </w:r>
    </w:p>
    <w:p w:rsidR="00CB41C9" w:rsidRDefault="00CB41C9" w:rsidP="00CB41C9">
      <w:pPr>
        <w:autoSpaceDE w:val="0"/>
        <w:autoSpaceDN w:val="0"/>
        <w:adjustRightInd w:val="0"/>
        <w:spacing w:after="0" w:line="240" w:lineRule="auto"/>
        <w:jc w:val="center"/>
        <w:rPr>
          <w:rFonts w:ascii="Calibri" w:hAnsi="Calibri" w:cs="Calibri"/>
          <w:b/>
          <w:color w:val="000000"/>
          <w:sz w:val="24"/>
          <w:szCs w:val="32"/>
        </w:rPr>
      </w:pPr>
    </w:p>
    <w:p w:rsidR="007319D6" w:rsidRPr="00864C58" w:rsidRDefault="007319D6" w:rsidP="007319D6">
      <w:pPr>
        <w:autoSpaceDE w:val="0"/>
        <w:autoSpaceDN w:val="0"/>
        <w:adjustRightInd w:val="0"/>
        <w:spacing w:after="0" w:line="240" w:lineRule="auto"/>
        <w:rPr>
          <w:rFonts w:eastAsia="Times New Roman" w:cs="Times New Roman"/>
          <w:b/>
          <w:sz w:val="32"/>
          <w:szCs w:val="32"/>
        </w:rPr>
      </w:pPr>
      <w:r w:rsidRPr="00864C58">
        <w:rPr>
          <w:rFonts w:eastAsia="Times New Roman" w:cs="Times New Roman"/>
          <w:b/>
          <w:sz w:val="32"/>
          <w:szCs w:val="32"/>
        </w:rPr>
        <w:t>Influvac QIV</w:t>
      </w:r>
    </w:p>
    <w:p w:rsidR="007319D6" w:rsidRDefault="007319D6" w:rsidP="007319D6">
      <w:pPr>
        <w:autoSpaceDE w:val="0"/>
        <w:autoSpaceDN w:val="0"/>
        <w:adjustRightInd w:val="0"/>
        <w:spacing w:after="0" w:line="240" w:lineRule="auto"/>
        <w:rPr>
          <w:rFonts w:eastAsia="Times New Roman" w:cs="Times New Roman"/>
          <w:sz w:val="32"/>
          <w:szCs w:val="32"/>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1"/>
        <w:gridCol w:w="1725"/>
      </w:tblGrid>
      <w:tr w:rsidR="007319D6" w:rsidRPr="00043638" w:rsidTr="00750112">
        <w:trPr>
          <w:trHeight w:val="167"/>
        </w:trPr>
        <w:tc>
          <w:tcPr>
            <w:tcW w:w="5341" w:type="dxa"/>
          </w:tcPr>
          <w:p w:rsidR="007319D6" w:rsidRPr="00043638" w:rsidRDefault="007319D6" w:rsidP="00750112">
            <w:pPr>
              <w:spacing w:after="0" w:line="240" w:lineRule="auto"/>
              <w:rPr>
                <w:rFonts w:ascii="Calibri" w:eastAsia="Times New Roman" w:hAnsi="Calibri" w:cs="Times New Roman"/>
                <w:b/>
                <w:sz w:val="24"/>
                <w:szCs w:val="24"/>
                <w:lang w:eastAsia="en-GB"/>
              </w:rPr>
            </w:pPr>
            <w:r w:rsidRPr="00043638">
              <w:rPr>
                <w:rFonts w:ascii="Calibri" w:eastAsia="Times New Roman" w:hAnsi="Calibri" w:cs="Times New Roman"/>
                <w:sz w:val="24"/>
                <w:szCs w:val="24"/>
                <w:lang w:eastAsia="en-GB"/>
              </w:rPr>
              <w:t>NHS Price</w:t>
            </w:r>
          </w:p>
        </w:tc>
        <w:tc>
          <w:tcPr>
            <w:tcW w:w="1725" w:type="dxa"/>
          </w:tcPr>
          <w:p w:rsidR="007319D6" w:rsidRPr="00B772C7" w:rsidRDefault="007319D6" w:rsidP="00750112">
            <w:pPr>
              <w:pStyle w:val="NoSpacing"/>
              <w:jc w:val="center"/>
              <w:rPr>
                <w:sz w:val="24"/>
              </w:rPr>
            </w:pPr>
            <w:r w:rsidRPr="00B772C7">
              <w:rPr>
                <w:sz w:val="24"/>
              </w:rPr>
              <w:t>£</w:t>
            </w:r>
            <w:r>
              <w:rPr>
                <w:sz w:val="24"/>
              </w:rPr>
              <w:t>9.94</w:t>
            </w:r>
          </w:p>
        </w:tc>
      </w:tr>
      <w:tr w:rsidR="007319D6" w:rsidRPr="00043638" w:rsidTr="00750112">
        <w:trPr>
          <w:trHeight w:val="190"/>
        </w:trPr>
        <w:tc>
          <w:tcPr>
            <w:tcW w:w="5341" w:type="dxa"/>
          </w:tcPr>
          <w:p w:rsidR="007319D6" w:rsidRPr="00043638" w:rsidRDefault="007319D6" w:rsidP="00750112">
            <w:pPr>
              <w:spacing w:after="0" w:line="240" w:lineRule="auto"/>
              <w:rPr>
                <w:rFonts w:ascii="Calibri" w:eastAsia="Times New Roman" w:hAnsi="Calibri" w:cs="Times New Roman"/>
                <w:b/>
                <w:sz w:val="24"/>
                <w:szCs w:val="24"/>
                <w:lang w:eastAsia="en-GB"/>
              </w:rPr>
            </w:pPr>
            <w:r w:rsidRPr="00043638">
              <w:rPr>
                <w:rFonts w:ascii="Calibri" w:eastAsia="Times New Roman" w:hAnsi="Calibri" w:cs="Times New Roman"/>
                <w:sz w:val="24"/>
                <w:szCs w:val="24"/>
                <w:lang w:eastAsia="en-GB"/>
              </w:rPr>
              <w:t>Dispensing Fee*</w:t>
            </w:r>
          </w:p>
        </w:tc>
        <w:tc>
          <w:tcPr>
            <w:tcW w:w="1725" w:type="dxa"/>
          </w:tcPr>
          <w:p w:rsidR="007319D6" w:rsidRPr="00B772C7" w:rsidRDefault="007319D6" w:rsidP="00750112">
            <w:pPr>
              <w:pStyle w:val="NoSpacing"/>
              <w:jc w:val="center"/>
              <w:rPr>
                <w:sz w:val="24"/>
              </w:rPr>
            </w:pPr>
            <w:r w:rsidRPr="002217DE">
              <w:rPr>
                <w:rFonts w:ascii="Calibri" w:hAnsi="Calibri" w:cs="Calibri"/>
                <w:color w:val="000000"/>
                <w:sz w:val="24"/>
                <w:szCs w:val="24"/>
              </w:rPr>
              <w:t>£2.209</w:t>
            </w:r>
          </w:p>
        </w:tc>
      </w:tr>
      <w:tr w:rsidR="007319D6" w:rsidRPr="00043638" w:rsidTr="00750112">
        <w:trPr>
          <w:trHeight w:val="190"/>
        </w:trPr>
        <w:tc>
          <w:tcPr>
            <w:tcW w:w="5341" w:type="dxa"/>
          </w:tcPr>
          <w:p w:rsidR="007319D6" w:rsidRPr="00043638" w:rsidRDefault="007319D6" w:rsidP="00750112">
            <w:pPr>
              <w:spacing w:after="0" w:line="240" w:lineRule="auto"/>
              <w:rPr>
                <w:rFonts w:ascii="Calibri" w:eastAsia="Times New Roman" w:hAnsi="Calibri" w:cs="Times New Roman"/>
                <w:b/>
                <w:sz w:val="24"/>
                <w:szCs w:val="24"/>
                <w:lang w:eastAsia="en-GB"/>
              </w:rPr>
            </w:pPr>
            <w:r w:rsidRPr="00043638">
              <w:rPr>
                <w:rFonts w:ascii="Calibri" w:eastAsia="Times New Roman" w:hAnsi="Calibri" w:cs="Times New Roman"/>
                <w:sz w:val="24"/>
                <w:szCs w:val="24"/>
                <w:lang w:eastAsia="en-GB"/>
              </w:rPr>
              <w:t>VAT (20%)</w:t>
            </w:r>
          </w:p>
        </w:tc>
        <w:tc>
          <w:tcPr>
            <w:tcW w:w="1725" w:type="dxa"/>
          </w:tcPr>
          <w:p w:rsidR="007319D6" w:rsidRPr="00B772C7" w:rsidRDefault="007319D6" w:rsidP="00750112">
            <w:pPr>
              <w:pStyle w:val="NoSpacing"/>
              <w:jc w:val="center"/>
              <w:rPr>
                <w:sz w:val="24"/>
              </w:rPr>
            </w:pPr>
            <w:r w:rsidRPr="00B772C7">
              <w:rPr>
                <w:sz w:val="24"/>
              </w:rPr>
              <w:t>£1.</w:t>
            </w:r>
            <w:r>
              <w:rPr>
                <w:sz w:val="24"/>
              </w:rPr>
              <w:t>99</w:t>
            </w:r>
          </w:p>
        </w:tc>
      </w:tr>
      <w:tr w:rsidR="007319D6" w:rsidRPr="00043638" w:rsidTr="00750112">
        <w:trPr>
          <w:trHeight w:val="156"/>
        </w:trPr>
        <w:tc>
          <w:tcPr>
            <w:tcW w:w="5341" w:type="dxa"/>
          </w:tcPr>
          <w:p w:rsidR="007319D6" w:rsidRPr="00043638" w:rsidRDefault="007319D6" w:rsidP="00750112">
            <w:pPr>
              <w:spacing w:after="0" w:line="240" w:lineRule="auto"/>
              <w:rPr>
                <w:rFonts w:ascii="Calibri" w:eastAsia="Times New Roman" w:hAnsi="Calibri" w:cs="Times New Roman"/>
                <w:b/>
                <w:sz w:val="28"/>
                <w:szCs w:val="24"/>
                <w:lang w:eastAsia="en-GB"/>
              </w:rPr>
            </w:pPr>
            <w:r w:rsidRPr="00043638">
              <w:rPr>
                <w:rFonts w:ascii="Calibri" w:eastAsia="Times New Roman" w:hAnsi="Calibri" w:cs="Times New Roman"/>
                <w:b/>
                <w:sz w:val="28"/>
                <w:szCs w:val="24"/>
                <w:lang w:eastAsia="en-GB"/>
              </w:rPr>
              <w:t xml:space="preserve">Total NHS Reimbursement </w:t>
            </w:r>
          </w:p>
        </w:tc>
        <w:tc>
          <w:tcPr>
            <w:tcW w:w="1725" w:type="dxa"/>
          </w:tcPr>
          <w:p w:rsidR="007319D6" w:rsidRPr="00B772C7" w:rsidRDefault="007319D6" w:rsidP="00750112">
            <w:pPr>
              <w:pStyle w:val="NoSpacing"/>
              <w:jc w:val="center"/>
              <w:rPr>
                <w:b/>
                <w:sz w:val="24"/>
              </w:rPr>
            </w:pPr>
            <w:r w:rsidRPr="00B772C7">
              <w:rPr>
                <w:b/>
                <w:sz w:val="28"/>
              </w:rPr>
              <w:t>£</w:t>
            </w:r>
            <w:r>
              <w:rPr>
                <w:b/>
                <w:sz w:val="28"/>
              </w:rPr>
              <w:t>14.14</w:t>
            </w:r>
          </w:p>
        </w:tc>
      </w:tr>
      <w:tr w:rsidR="007319D6" w:rsidRPr="00043638" w:rsidTr="00750112">
        <w:trPr>
          <w:trHeight w:val="156"/>
        </w:trPr>
        <w:tc>
          <w:tcPr>
            <w:tcW w:w="5341" w:type="dxa"/>
          </w:tcPr>
          <w:p w:rsidR="007319D6" w:rsidRPr="00043638" w:rsidRDefault="007319D6" w:rsidP="00750112">
            <w:pPr>
              <w:spacing w:after="0" w:line="240" w:lineRule="auto"/>
              <w:rPr>
                <w:rFonts w:ascii="Calibri" w:eastAsia="Times New Roman" w:hAnsi="Calibri" w:cs="Times New Roman"/>
                <w:sz w:val="24"/>
                <w:szCs w:val="24"/>
                <w:lang w:eastAsia="en-GB"/>
              </w:rPr>
            </w:pPr>
            <w:r w:rsidRPr="00043638">
              <w:rPr>
                <w:rFonts w:ascii="Calibri" w:eastAsia="Times New Roman" w:hAnsi="Calibri" w:cs="Times New Roman"/>
                <w:sz w:val="24"/>
                <w:szCs w:val="24"/>
                <w:lang w:eastAsia="en-GB"/>
              </w:rPr>
              <w:t>Actual cost after discount (</w:t>
            </w:r>
            <w:r>
              <w:rPr>
                <w:rFonts w:ascii="Calibri" w:eastAsia="Times New Roman" w:hAnsi="Calibri" w:cs="Times New Roman"/>
                <w:sz w:val="24"/>
                <w:szCs w:val="24"/>
                <w:lang w:eastAsia="en-GB"/>
              </w:rPr>
              <w:t>50</w:t>
            </w:r>
            <w:r w:rsidRPr="00043638">
              <w:rPr>
                <w:rFonts w:ascii="Calibri" w:eastAsia="Times New Roman" w:hAnsi="Calibri" w:cs="Times New Roman"/>
                <w:sz w:val="24"/>
                <w:szCs w:val="24"/>
                <w:lang w:eastAsia="en-GB"/>
              </w:rPr>
              <w:t>%)</w:t>
            </w:r>
          </w:p>
        </w:tc>
        <w:tc>
          <w:tcPr>
            <w:tcW w:w="1725" w:type="dxa"/>
          </w:tcPr>
          <w:p w:rsidR="007319D6" w:rsidRPr="00B772C7" w:rsidRDefault="007319D6" w:rsidP="00750112">
            <w:pPr>
              <w:pStyle w:val="NoSpacing"/>
              <w:jc w:val="center"/>
              <w:rPr>
                <w:sz w:val="24"/>
              </w:rPr>
            </w:pPr>
            <w:r w:rsidRPr="00B772C7">
              <w:rPr>
                <w:sz w:val="24"/>
              </w:rPr>
              <w:t>£</w:t>
            </w:r>
            <w:r>
              <w:rPr>
                <w:sz w:val="24"/>
              </w:rPr>
              <w:t>4.97</w:t>
            </w:r>
          </w:p>
        </w:tc>
      </w:tr>
      <w:tr w:rsidR="007319D6" w:rsidRPr="00043638" w:rsidTr="00750112">
        <w:trPr>
          <w:trHeight w:val="140"/>
        </w:trPr>
        <w:tc>
          <w:tcPr>
            <w:tcW w:w="5341" w:type="dxa"/>
          </w:tcPr>
          <w:p w:rsidR="007319D6" w:rsidRPr="00043638" w:rsidRDefault="007319D6" w:rsidP="00750112">
            <w:pPr>
              <w:spacing w:after="0" w:line="240" w:lineRule="auto"/>
              <w:rPr>
                <w:rFonts w:ascii="Calibri" w:eastAsia="Times New Roman" w:hAnsi="Calibri" w:cs="Times New Roman"/>
                <w:sz w:val="24"/>
                <w:szCs w:val="24"/>
                <w:lang w:eastAsia="en-GB"/>
              </w:rPr>
            </w:pPr>
            <w:r w:rsidRPr="00043638">
              <w:rPr>
                <w:rFonts w:ascii="Calibri" w:eastAsia="Times New Roman" w:hAnsi="Calibri" w:cs="Times New Roman"/>
                <w:sz w:val="24"/>
                <w:szCs w:val="24"/>
                <w:lang w:eastAsia="en-GB"/>
              </w:rPr>
              <w:t>VAT (20%)</w:t>
            </w:r>
          </w:p>
        </w:tc>
        <w:tc>
          <w:tcPr>
            <w:tcW w:w="1725" w:type="dxa"/>
          </w:tcPr>
          <w:p w:rsidR="007319D6" w:rsidRPr="00B772C7" w:rsidRDefault="007319D6" w:rsidP="00750112">
            <w:pPr>
              <w:pStyle w:val="NoSpacing"/>
              <w:jc w:val="center"/>
              <w:rPr>
                <w:sz w:val="24"/>
              </w:rPr>
            </w:pPr>
            <w:r w:rsidRPr="00B772C7">
              <w:rPr>
                <w:sz w:val="24"/>
              </w:rPr>
              <w:t>£0.</w:t>
            </w:r>
            <w:r>
              <w:rPr>
                <w:sz w:val="24"/>
              </w:rPr>
              <w:t>99</w:t>
            </w:r>
          </w:p>
        </w:tc>
      </w:tr>
      <w:tr w:rsidR="007319D6" w:rsidRPr="00043638" w:rsidTr="00750112">
        <w:trPr>
          <w:trHeight w:val="234"/>
        </w:trPr>
        <w:tc>
          <w:tcPr>
            <w:tcW w:w="5341" w:type="dxa"/>
          </w:tcPr>
          <w:p w:rsidR="007319D6" w:rsidRPr="00043638" w:rsidRDefault="007319D6" w:rsidP="00750112">
            <w:pPr>
              <w:spacing w:after="0" w:line="240" w:lineRule="auto"/>
              <w:rPr>
                <w:rFonts w:ascii="Calibri" w:eastAsia="Times New Roman" w:hAnsi="Calibri" w:cs="Times New Roman"/>
                <w:sz w:val="24"/>
                <w:szCs w:val="24"/>
                <w:lang w:eastAsia="en-GB"/>
              </w:rPr>
            </w:pPr>
            <w:r w:rsidRPr="00043638">
              <w:rPr>
                <w:rFonts w:ascii="Calibri" w:eastAsia="Times New Roman" w:hAnsi="Calibri" w:cs="Times New Roman"/>
                <w:sz w:val="24"/>
                <w:szCs w:val="24"/>
                <w:lang w:eastAsia="en-GB"/>
              </w:rPr>
              <w:t>Total cost to practice</w:t>
            </w:r>
          </w:p>
        </w:tc>
        <w:tc>
          <w:tcPr>
            <w:tcW w:w="1725" w:type="dxa"/>
          </w:tcPr>
          <w:p w:rsidR="007319D6" w:rsidRPr="00B772C7" w:rsidRDefault="007319D6" w:rsidP="00750112">
            <w:pPr>
              <w:pStyle w:val="NoSpacing"/>
              <w:jc w:val="center"/>
              <w:rPr>
                <w:sz w:val="24"/>
              </w:rPr>
            </w:pPr>
            <w:r w:rsidRPr="00B772C7">
              <w:rPr>
                <w:sz w:val="24"/>
              </w:rPr>
              <w:t>£</w:t>
            </w:r>
            <w:r>
              <w:rPr>
                <w:sz w:val="24"/>
              </w:rPr>
              <w:t>5</w:t>
            </w:r>
            <w:r w:rsidRPr="00B772C7">
              <w:rPr>
                <w:sz w:val="24"/>
              </w:rPr>
              <w:t>.</w:t>
            </w:r>
            <w:r>
              <w:rPr>
                <w:sz w:val="24"/>
              </w:rPr>
              <w:t>96</w:t>
            </w:r>
          </w:p>
        </w:tc>
      </w:tr>
      <w:tr w:rsidR="007319D6" w:rsidRPr="00043638" w:rsidTr="00750112">
        <w:trPr>
          <w:trHeight w:val="140"/>
        </w:trPr>
        <w:tc>
          <w:tcPr>
            <w:tcW w:w="5341" w:type="dxa"/>
            <w:tcBorders>
              <w:bottom w:val="single" w:sz="4" w:space="0" w:color="auto"/>
            </w:tcBorders>
          </w:tcPr>
          <w:p w:rsidR="007319D6" w:rsidRPr="00043638" w:rsidRDefault="007319D6" w:rsidP="00750112">
            <w:pPr>
              <w:spacing w:after="0" w:line="240" w:lineRule="auto"/>
              <w:rPr>
                <w:rFonts w:ascii="Calibri" w:eastAsia="Times New Roman" w:hAnsi="Calibri" w:cs="Times New Roman"/>
                <w:b/>
                <w:sz w:val="28"/>
                <w:szCs w:val="24"/>
                <w:lang w:eastAsia="en-GB"/>
              </w:rPr>
            </w:pPr>
            <w:r w:rsidRPr="00043638">
              <w:rPr>
                <w:rFonts w:ascii="Calibri" w:eastAsia="Times New Roman" w:hAnsi="Calibri" w:cs="Times New Roman"/>
                <w:b/>
                <w:sz w:val="28"/>
                <w:szCs w:val="24"/>
                <w:lang w:eastAsia="en-GB"/>
              </w:rPr>
              <w:t xml:space="preserve">Total Profit Per Dose (PPD) </w:t>
            </w:r>
          </w:p>
        </w:tc>
        <w:tc>
          <w:tcPr>
            <w:tcW w:w="1725" w:type="dxa"/>
            <w:tcBorders>
              <w:bottom w:val="single" w:sz="4" w:space="0" w:color="auto"/>
            </w:tcBorders>
          </w:tcPr>
          <w:p w:rsidR="007319D6" w:rsidRPr="00B772C7" w:rsidRDefault="007319D6" w:rsidP="00750112">
            <w:pPr>
              <w:pStyle w:val="NoSpacing"/>
              <w:jc w:val="center"/>
              <w:rPr>
                <w:b/>
                <w:sz w:val="24"/>
              </w:rPr>
            </w:pPr>
            <w:r w:rsidRPr="00B772C7">
              <w:rPr>
                <w:b/>
                <w:sz w:val="28"/>
              </w:rPr>
              <w:t>£</w:t>
            </w:r>
            <w:r>
              <w:rPr>
                <w:b/>
                <w:sz w:val="28"/>
              </w:rPr>
              <w:t>8</w:t>
            </w:r>
            <w:r w:rsidRPr="00B772C7">
              <w:rPr>
                <w:b/>
                <w:sz w:val="28"/>
              </w:rPr>
              <w:t>.</w:t>
            </w:r>
            <w:r>
              <w:rPr>
                <w:b/>
                <w:sz w:val="28"/>
              </w:rPr>
              <w:t>18</w:t>
            </w:r>
          </w:p>
        </w:tc>
      </w:tr>
    </w:tbl>
    <w:p w:rsidR="007319D6" w:rsidRDefault="007319D6" w:rsidP="00CB41C9">
      <w:pPr>
        <w:autoSpaceDE w:val="0"/>
        <w:autoSpaceDN w:val="0"/>
        <w:adjustRightInd w:val="0"/>
        <w:spacing w:after="0" w:line="240" w:lineRule="auto"/>
        <w:jc w:val="center"/>
        <w:rPr>
          <w:rFonts w:ascii="Calibri" w:hAnsi="Calibri" w:cs="Calibri"/>
          <w:b/>
          <w:color w:val="000000"/>
          <w:sz w:val="24"/>
          <w:szCs w:val="32"/>
        </w:rPr>
      </w:pPr>
    </w:p>
    <w:p w:rsidR="007319D6" w:rsidRPr="00864C58" w:rsidRDefault="007319D6" w:rsidP="007319D6">
      <w:pPr>
        <w:autoSpaceDE w:val="0"/>
        <w:autoSpaceDN w:val="0"/>
        <w:adjustRightInd w:val="0"/>
        <w:spacing w:after="0" w:line="240" w:lineRule="auto"/>
        <w:rPr>
          <w:rFonts w:eastAsia="Times New Roman" w:cs="Times New Roman"/>
          <w:b/>
          <w:sz w:val="32"/>
          <w:szCs w:val="32"/>
        </w:rPr>
      </w:pPr>
      <w:r w:rsidRPr="00864C58">
        <w:rPr>
          <w:rFonts w:eastAsia="Times New Roman" w:cs="Times New Roman"/>
          <w:b/>
          <w:sz w:val="32"/>
          <w:szCs w:val="32"/>
        </w:rPr>
        <w:t>Generic QIV</w:t>
      </w:r>
    </w:p>
    <w:p w:rsidR="007319D6" w:rsidRDefault="007319D6" w:rsidP="007319D6">
      <w:pPr>
        <w:autoSpaceDE w:val="0"/>
        <w:autoSpaceDN w:val="0"/>
        <w:adjustRightInd w:val="0"/>
        <w:spacing w:after="0" w:line="240" w:lineRule="auto"/>
        <w:rPr>
          <w:rFonts w:eastAsia="Times New Roman" w:cs="Times New Roman"/>
          <w:sz w:val="32"/>
          <w:szCs w:val="32"/>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1"/>
        <w:gridCol w:w="1725"/>
      </w:tblGrid>
      <w:tr w:rsidR="007319D6" w:rsidRPr="00043638" w:rsidTr="00750112">
        <w:trPr>
          <w:trHeight w:val="167"/>
        </w:trPr>
        <w:tc>
          <w:tcPr>
            <w:tcW w:w="5341" w:type="dxa"/>
          </w:tcPr>
          <w:p w:rsidR="007319D6" w:rsidRPr="00043638" w:rsidRDefault="007319D6" w:rsidP="00750112">
            <w:pPr>
              <w:spacing w:after="0" w:line="240" w:lineRule="auto"/>
              <w:rPr>
                <w:rFonts w:ascii="Calibri" w:eastAsia="Times New Roman" w:hAnsi="Calibri" w:cs="Times New Roman"/>
                <w:b/>
                <w:sz w:val="24"/>
                <w:szCs w:val="24"/>
                <w:lang w:eastAsia="en-GB"/>
              </w:rPr>
            </w:pPr>
            <w:r w:rsidRPr="00043638">
              <w:rPr>
                <w:rFonts w:ascii="Calibri" w:eastAsia="Times New Roman" w:hAnsi="Calibri" w:cs="Times New Roman"/>
                <w:sz w:val="24"/>
                <w:szCs w:val="24"/>
                <w:lang w:eastAsia="en-GB"/>
              </w:rPr>
              <w:t>NHS Price</w:t>
            </w:r>
          </w:p>
        </w:tc>
        <w:tc>
          <w:tcPr>
            <w:tcW w:w="1725" w:type="dxa"/>
          </w:tcPr>
          <w:p w:rsidR="007319D6" w:rsidRPr="00581738" w:rsidRDefault="007319D6" w:rsidP="00750112">
            <w:pPr>
              <w:pStyle w:val="NoSpacing"/>
              <w:jc w:val="center"/>
              <w:rPr>
                <w:rFonts w:ascii="Calibri" w:hAnsi="Calibri"/>
                <w:sz w:val="24"/>
                <w:szCs w:val="24"/>
              </w:rPr>
            </w:pPr>
            <w:r w:rsidRPr="00581738">
              <w:rPr>
                <w:rFonts w:ascii="Calibri" w:hAnsi="Calibri"/>
                <w:sz w:val="24"/>
                <w:szCs w:val="24"/>
              </w:rPr>
              <w:t>£8.00</w:t>
            </w:r>
          </w:p>
        </w:tc>
      </w:tr>
      <w:tr w:rsidR="007319D6" w:rsidRPr="00043638" w:rsidTr="00750112">
        <w:trPr>
          <w:trHeight w:val="190"/>
        </w:trPr>
        <w:tc>
          <w:tcPr>
            <w:tcW w:w="5341" w:type="dxa"/>
          </w:tcPr>
          <w:p w:rsidR="007319D6" w:rsidRPr="00043638" w:rsidRDefault="007319D6" w:rsidP="00750112">
            <w:pPr>
              <w:spacing w:after="0" w:line="240" w:lineRule="auto"/>
              <w:rPr>
                <w:rFonts w:ascii="Calibri" w:eastAsia="Times New Roman" w:hAnsi="Calibri" w:cs="Times New Roman"/>
                <w:b/>
                <w:sz w:val="24"/>
                <w:szCs w:val="24"/>
                <w:lang w:eastAsia="en-GB"/>
              </w:rPr>
            </w:pPr>
            <w:r w:rsidRPr="00043638">
              <w:rPr>
                <w:rFonts w:ascii="Calibri" w:eastAsia="Times New Roman" w:hAnsi="Calibri" w:cs="Times New Roman"/>
                <w:sz w:val="24"/>
                <w:szCs w:val="24"/>
                <w:lang w:eastAsia="en-GB"/>
              </w:rPr>
              <w:t>Dispensing Fee*</w:t>
            </w:r>
          </w:p>
        </w:tc>
        <w:tc>
          <w:tcPr>
            <w:tcW w:w="1725" w:type="dxa"/>
          </w:tcPr>
          <w:p w:rsidR="007319D6" w:rsidRPr="00581738" w:rsidRDefault="007319D6" w:rsidP="00750112">
            <w:pPr>
              <w:pStyle w:val="NoSpacing"/>
              <w:jc w:val="center"/>
              <w:rPr>
                <w:rFonts w:ascii="Calibri" w:hAnsi="Calibri"/>
                <w:sz w:val="24"/>
                <w:szCs w:val="24"/>
              </w:rPr>
            </w:pPr>
            <w:r w:rsidRPr="00581738">
              <w:rPr>
                <w:rFonts w:ascii="Calibri" w:hAnsi="Calibri"/>
                <w:sz w:val="24"/>
                <w:szCs w:val="24"/>
              </w:rPr>
              <w:t>£2.</w:t>
            </w:r>
            <w:r>
              <w:rPr>
                <w:rFonts w:ascii="Calibri" w:hAnsi="Calibri"/>
                <w:sz w:val="24"/>
                <w:szCs w:val="24"/>
              </w:rPr>
              <w:t>209</w:t>
            </w:r>
          </w:p>
        </w:tc>
      </w:tr>
      <w:tr w:rsidR="007319D6" w:rsidRPr="00043638" w:rsidTr="00750112">
        <w:trPr>
          <w:trHeight w:val="190"/>
        </w:trPr>
        <w:tc>
          <w:tcPr>
            <w:tcW w:w="5341" w:type="dxa"/>
          </w:tcPr>
          <w:p w:rsidR="007319D6" w:rsidRPr="00043638" w:rsidRDefault="007319D6" w:rsidP="00750112">
            <w:pPr>
              <w:spacing w:after="0" w:line="240" w:lineRule="auto"/>
              <w:rPr>
                <w:rFonts w:ascii="Calibri" w:eastAsia="Times New Roman" w:hAnsi="Calibri" w:cs="Times New Roman"/>
                <w:b/>
                <w:sz w:val="24"/>
                <w:szCs w:val="24"/>
                <w:lang w:eastAsia="en-GB"/>
              </w:rPr>
            </w:pPr>
            <w:r w:rsidRPr="00043638">
              <w:rPr>
                <w:rFonts w:ascii="Calibri" w:eastAsia="Times New Roman" w:hAnsi="Calibri" w:cs="Times New Roman"/>
                <w:sz w:val="24"/>
                <w:szCs w:val="24"/>
                <w:lang w:eastAsia="en-GB"/>
              </w:rPr>
              <w:t>VAT (20%)</w:t>
            </w:r>
          </w:p>
        </w:tc>
        <w:tc>
          <w:tcPr>
            <w:tcW w:w="1725" w:type="dxa"/>
          </w:tcPr>
          <w:p w:rsidR="007319D6" w:rsidRPr="00581738" w:rsidRDefault="007319D6" w:rsidP="00750112">
            <w:pPr>
              <w:pStyle w:val="NoSpacing"/>
              <w:jc w:val="center"/>
              <w:rPr>
                <w:rFonts w:ascii="Calibri" w:hAnsi="Calibri"/>
                <w:sz w:val="24"/>
                <w:szCs w:val="24"/>
              </w:rPr>
            </w:pPr>
            <w:r w:rsidRPr="00581738">
              <w:rPr>
                <w:rFonts w:ascii="Calibri" w:hAnsi="Calibri"/>
                <w:sz w:val="24"/>
                <w:szCs w:val="24"/>
              </w:rPr>
              <w:t>£1.60</w:t>
            </w:r>
          </w:p>
        </w:tc>
      </w:tr>
      <w:tr w:rsidR="007319D6" w:rsidRPr="00043638" w:rsidTr="00750112">
        <w:trPr>
          <w:trHeight w:val="156"/>
        </w:trPr>
        <w:tc>
          <w:tcPr>
            <w:tcW w:w="5341" w:type="dxa"/>
          </w:tcPr>
          <w:p w:rsidR="007319D6" w:rsidRPr="00043638" w:rsidRDefault="007319D6" w:rsidP="00750112">
            <w:pPr>
              <w:spacing w:after="0" w:line="240" w:lineRule="auto"/>
              <w:rPr>
                <w:rFonts w:ascii="Calibri" w:eastAsia="Times New Roman" w:hAnsi="Calibri" w:cs="Times New Roman"/>
                <w:b/>
                <w:sz w:val="28"/>
                <w:szCs w:val="24"/>
                <w:lang w:eastAsia="en-GB"/>
              </w:rPr>
            </w:pPr>
            <w:r w:rsidRPr="00043638">
              <w:rPr>
                <w:rFonts w:ascii="Calibri" w:eastAsia="Times New Roman" w:hAnsi="Calibri" w:cs="Times New Roman"/>
                <w:b/>
                <w:sz w:val="28"/>
                <w:szCs w:val="24"/>
                <w:lang w:eastAsia="en-GB"/>
              </w:rPr>
              <w:t xml:space="preserve">Total NHS Reimbursement </w:t>
            </w:r>
          </w:p>
        </w:tc>
        <w:tc>
          <w:tcPr>
            <w:tcW w:w="1725" w:type="dxa"/>
          </w:tcPr>
          <w:p w:rsidR="007319D6" w:rsidRPr="00581738" w:rsidRDefault="007319D6" w:rsidP="00750112">
            <w:pPr>
              <w:pStyle w:val="NoSpacing"/>
              <w:jc w:val="center"/>
              <w:rPr>
                <w:rFonts w:ascii="Calibri" w:hAnsi="Calibri"/>
                <w:b/>
                <w:sz w:val="28"/>
                <w:szCs w:val="24"/>
              </w:rPr>
            </w:pPr>
            <w:r>
              <w:rPr>
                <w:rFonts w:ascii="Calibri" w:hAnsi="Calibri"/>
                <w:b/>
                <w:sz w:val="28"/>
                <w:szCs w:val="24"/>
              </w:rPr>
              <w:t>£11.81</w:t>
            </w:r>
          </w:p>
        </w:tc>
      </w:tr>
      <w:tr w:rsidR="007319D6" w:rsidRPr="00043638" w:rsidTr="00750112">
        <w:trPr>
          <w:trHeight w:val="156"/>
        </w:trPr>
        <w:tc>
          <w:tcPr>
            <w:tcW w:w="5341" w:type="dxa"/>
          </w:tcPr>
          <w:p w:rsidR="007319D6" w:rsidRPr="00043638" w:rsidRDefault="007319D6" w:rsidP="00750112">
            <w:pPr>
              <w:spacing w:after="0" w:line="240" w:lineRule="auto"/>
              <w:rPr>
                <w:rFonts w:ascii="Calibri" w:eastAsia="Times New Roman" w:hAnsi="Calibri" w:cs="Times New Roman"/>
                <w:sz w:val="24"/>
                <w:szCs w:val="24"/>
                <w:lang w:eastAsia="en-GB"/>
              </w:rPr>
            </w:pPr>
            <w:r w:rsidRPr="00043638">
              <w:rPr>
                <w:rFonts w:ascii="Calibri" w:eastAsia="Times New Roman" w:hAnsi="Calibri" w:cs="Times New Roman"/>
                <w:sz w:val="24"/>
                <w:szCs w:val="24"/>
                <w:lang w:eastAsia="en-GB"/>
              </w:rPr>
              <w:t>Actual cost after discount (</w:t>
            </w:r>
            <w:r>
              <w:rPr>
                <w:rFonts w:ascii="Calibri" w:eastAsia="Times New Roman" w:hAnsi="Calibri" w:cs="Times New Roman"/>
                <w:sz w:val="24"/>
                <w:szCs w:val="24"/>
                <w:lang w:eastAsia="en-GB"/>
              </w:rPr>
              <w:t>50</w:t>
            </w:r>
            <w:r w:rsidRPr="00043638">
              <w:rPr>
                <w:rFonts w:ascii="Calibri" w:eastAsia="Times New Roman" w:hAnsi="Calibri" w:cs="Times New Roman"/>
                <w:sz w:val="24"/>
                <w:szCs w:val="24"/>
                <w:lang w:eastAsia="en-GB"/>
              </w:rPr>
              <w:t>%)</w:t>
            </w:r>
          </w:p>
        </w:tc>
        <w:tc>
          <w:tcPr>
            <w:tcW w:w="1725" w:type="dxa"/>
          </w:tcPr>
          <w:p w:rsidR="007319D6" w:rsidRPr="00581738" w:rsidRDefault="007319D6" w:rsidP="00750112">
            <w:pPr>
              <w:pStyle w:val="NoSpacing"/>
              <w:jc w:val="center"/>
              <w:rPr>
                <w:rFonts w:ascii="Calibri" w:hAnsi="Calibri"/>
                <w:sz w:val="24"/>
                <w:szCs w:val="24"/>
              </w:rPr>
            </w:pPr>
            <w:r w:rsidRPr="00581738">
              <w:rPr>
                <w:rFonts w:ascii="Calibri" w:hAnsi="Calibri"/>
                <w:sz w:val="24"/>
                <w:szCs w:val="24"/>
              </w:rPr>
              <w:t>£4.00</w:t>
            </w:r>
          </w:p>
        </w:tc>
      </w:tr>
      <w:tr w:rsidR="007319D6" w:rsidRPr="00043638" w:rsidTr="00750112">
        <w:trPr>
          <w:trHeight w:val="140"/>
        </w:trPr>
        <w:tc>
          <w:tcPr>
            <w:tcW w:w="5341" w:type="dxa"/>
          </w:tcPr>
          <w:p w:rsidR="007319D6" w:rsidRPr="00043638" w:rsidRDefault="007319D6" w:rsidP="00750112">
            <w:pPr>
              <w:spacing w:after="0" w:line="240" w:lineRule="auto"/>
              <w:rPr>
                <w:rFonts w:ascii="Calibri" w:eastAsia="Times New Roman" w:hAnsi="Calibri" w:cs="Times New Roman"/>
                <w:sz w:val="24"/>
                <w:szCs w:val="24"/>
                <w:lang w:eastAsia="en-GB"/>
              </w:rPr>
            </w:pPr>
            <w:r w:rsidRPr="00043638">
              <w:rPr>
                <w:rFonts w:ascii="Calibri" w:eastAsia="Times New Roman" w:hAnsi="Calibri" w:cs="Times New Roman"/>
                <w:sz w:val="24"/>
                <w:szCs w:val="24"/>
                <w:lang w:eastAsia="en-GB"/>
              </w:rPr>
              <w:t>VAT (20%)</w:t>
            </w:r>
          </w:p>
        </w:tc>
        <w:tc>
          <w:tcPr>
            <w:tcW w:w="1725" w:type="dxa"/>
          </w:tcPr>
          <w:p w:rsidR="007319D6" w:rsidRPr="00581738" w:rsidRDefault="007319D6" w:rsidP="00750112">
            <w:pPr>
              <w:pStyle w:val="NoSpacing"/>
              <w:jc w:val="center"/>
              <w:rPr>
                <w:rFonts w:ascii="Calibri" w:hAnsi="Calibri"/>
                <w:sz w:val="24"/>
                <w:szCs w:val="24"/>
              </w:rPr>
            </w:pPr>
            <w:r w:rsidRPr="00581738">
              <w:rPr>
                <w:rFonts w:ascii="Calibri" w:hAnsi="Calibri"/>
                <w:sz w:val="24"/>
                <w:szCs w:val="24"/>
              </w:rPr>
              <w:t>£0.80</w:t>
            </w:r>
          </w:p>
        </w:tc>
      </w:tr>
      <w:tr w:rsidR="007319D6" w:rsidRPr="00043638" w:rsidTr="00750112">
        <w:trPr>
          <w:trHeight w:val="234"/>
        </w:trPr>
        <w:tc>
          <w:tcPr>
            <w:tcW w:w="5341" w:type="dxa"/>
          </w:tcPr>
          <w:p w:rsidR="007319D6" w:rsidRPr="00043638" w:rsidRDefault="007319D6" w:rsidP="00750112">
            <w:pPr>
              <w:spacing w:after="0" w:line="240" w:lineRule="auto"/>
              <w:rPr>
                <w:rFonts w:ascii="Calibri" w:eastAsia="Times New Roman" w:hAnsi="Calibri" w:cs="Times New Roman"/>
                <w:sz w:val="24"/>
                <w:szCs w:val="24"/>
                <w:lang w:eastAsia="en-GB"/>
              </w:rPr>
            </w:pPr>
            <w:r w:rsidRPr="00043638">
              <w:rPr>
                <w:rFonts w:ascii="Calibri" w:eastAsia="Times New Roman" w:hAnsi="Calibri" w:cs="Times New Roman"/>
                <w:sz w:val="24"/>
                <w:szCs w:val="24"/>
                <w:lang w:eastAsia="en-GB"/>
              </w:rPr>
              <w:t>Total cost to practice</w:t>
            </w:r>
          </w:p>
        </w:tc>
        <w:tc>
          <w:tcPr>
            <w:tcW w:w="1725" w:type="dxa"/>
          </w:tcPr>
          <w:p w:rsidR="007319D6" w:rsidRPr="00581738" w:rsidRDefault="007319D6" w:rsidP="00750112">
            <w:pPr>
              <w:pStyle w:val="NoSpacing"/>
              <w:jc w:val="center"/>
              <w:rPr>
                <w:rFonts w:ascii="Calibri" w:hAnsi="Calibri"/>
                <w:sz w:val="24"/>
                <w:szCs w:val="24"/>
              </w:rPr>
            </w:pPr>
            <w:r w:rsidRPr="00581738">
              <w:rPr>
                <w:rFonts w:ascii="Calibri" w:hAnsi="Calibri"/>
                <w:sz w:val="24"/>
                <w:szCs w:val="24"/>
              </w:rPr>
              <w:t>£4.80</w:t>
            </w:r>
          </w:p>
        </w:tc>
      </w:tr>
      <w:tr w:rsidR="007319D6" w:rsidRPr="00043638" w:rsidTr="00750112">
        <w:trPr>
          <w:trHeight w:val="140"/>
        </w:trPr>
        <w:tc>
          <w:tcPr>
            <w:tcW w:w="5341" w:type="dxa"/>
            <w:tcBorders>
              <w:bottom w:val="single" w:sz="4" w:space="0" w:color="auto"/>
            </w:tcBorders>
          </w:tcPr>
          <w:p w:rsidR="007319D6" w:rsidRPr="00043638" w:rsidRDefault="007319D6" w:rsidP="00750112">
            <w:pPr>
              <w:spacing w:after="0" w:line="240" w:lineRule="auto"/>
              <w:rPr>
                <w:rFonts w:ascii="Calibri" w:eastAsia="Times New Roman" w:hAnsi="Calibri" w:cs="Times New Roman"/>
                <w:b/>
                <w:sz w:val="28"/>
                <w:szCs w:val="24"/>
                <w:lang w:eastAsia="en-GB"/>
              </w:rPr>
            </w:pPr>
            <w:r w:rsidRPr="00043638">
              <w:rPr>
                <w:rFonts w:ascii="Calibri" w:eastAsia="Times New Roman" w:hAnsi="Calibri" w:cs="Times New Roman"/>
                <w:b/>
                <w:sz w:val="28"/>
                <w:szCs w:val="24"/>
                <w:lang w:eastAsia="en-GB"/>
              </w:rPr>
              <w:t xml:space="preserve">Total Profit Per Dose (PPD) </w:t>
            </w:r>
          </w:p>
        </w:tc>
        <w:tc>
          <w:tcPr>
            <w:tcW w:w="1725" w:type="dxa"/>
          </w:tcPr>
          <w:p w:rsidR="007319D6" w:rsidRPr="00581738" w:rsidRDefault="007319D6" w:rsidP="00750112">
            <w:pPr>
              <w:pStyle w:val="NoSpacing"/>
              <w:jc w:val="center"/>
              <w:rPr>
                <w:rFonts w:ascii="Calibri" w:hAnsi="Calibri"/>
                <w:b/>
                <w:sz w:val="28"/>
                <w:szCs w:val="24"/>
              </w:rPr>
            </w:pPr>
            <w:r w:rsidRPr="00581738">
              <w:rPr>
                <w:rFonts w:ascii="Calibri" w:hAnsi="Calibri"/>
                <w:b/>
                <w:sz w:val="28"/>
                <w:szCs w:val="24"/>
              </w:rPr>
              <w:t>£</w:t>
            </w:r>
            <w:r>
              <w:rPr>
                <w:rFonts w:ascii="Calibri" w:hAnsi="Calibri"/>
                <w:b/>
                <w:sz w:val="28"/>
                <w:szCs w:val="24"/>
              </w:rPr>
              <w:t>7.01</w:t>
            </w:r>
          </w:p>
        </w:tc>
      </w:tr>
    </w:tbl>
    <w:p w:rsidR="007319D6" w:rsidRDefault="007319D6" w:rsidP="00CB41C9">
      <w:pPr>
        <w:autoSpaceDE w:val="0"/>
        <w:autoSpaceDN w:val="0"/>
        <w:adjustRightInd w:val="0"/>
        <w:spacing w:after="0" w:line="240" w:lineRule="auto"/>
        <w:jc w:val="center"/>
        <w:rPr>
          <w:rFonts w:ascii="Calibri" w:hAnsi="Calibri" w:cs="Calibri"/>
          <w:b/>
          <w:color w:val="000000"/>
          <w:sz w:val="24"/>
          <w:szCs w:val="32"/>
        </w:rPr>
      </w:pPr>
    </w:p>
    <w:p w:rsidR="00C41A17" w:rsidRPr="00864C58" w:rsidRDefault="00C41A17" w:rsidP="00C41A17">
      <w:pPr>
        <w:autoSpaceDE w:val="0"/>
        <w:autoSpaceDN w:val="0"/>
        <w:adjustRightInd w:val="0"/>
        <w:spacing w:after="0" w:line="240" w:lineRule="auto"/>
        <w:rPr>
          <w:rFonts w:eastAsia="Times New Roman" w:cs="Times New Roman"/>
          <w:b/>
          <w:sz w:val="32"/>
          <w:szCs w:val="32"/>
        </w:rPr>
      </w:pPr>
      <w:r w:rsidRPr="00864C58">
        <w:rPr>
          <w:rFonts w:eastAsia="Times New Roman" w:cs="Times New Roman"/>
          <w:b/>
          <w:sz w:val="32"/>
          <w:szCs w:val="32"/>
        </w:rPr>
        <w:t>Generic TIV</w:t>
      </w:r>
    </w:p>
    <w:p w:rsidR="00C41A17" w:rsidRPr="00864C58" w:rsidRDefault="00C41A17" w:rsidP="00C41A17">
      <w:pPr>
        <w:autoSpaceDE w:val="0"/>
        <w:autoSpaceDN w:val="0"/>
        <w:adjustRightInd w:val="0"/>
        <w:spacing w:after="0" w:line="240" w:lineRule="auto"/>
        <w:rPr>
          <w:rFonts w:eastAsia="Times New Roman" w:cs="Times New Roman"/>
          <w:sz w:val="32"/>
          <w:szCs w:val="32"/>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1"/>
        <w:gridCol w:w="1725"/>
      </w:tblGrid>
      <w:tr w:rsidR="00C41A17" w:rsidRPr="00043638" w:rsidTr="00750112">
        <w:trPr>
          <w:trHeight w:val="167"/>
        </w:trPr>
        <w:tc>
          <w:tcPr>
            <w:tcW w:w="5341" w:type="dxa"/>
          </w:tcPr>
          <w:p w:rsidR="00C41A17" w:rsidRPr="00043638" w:rsidRDefault="00C41A17" w:rsidP="00750112">
            <w:pPr>
              <w:spacing w:after="0" w:line="240" w:lineRule="auto"/>
              <w:rPr>
                <w:rFonts w:ascii="Calibri" w:eastAsia="Times New Roman" w:hAnsi="Calibri" w:cs="Times New Roman"/>
                <w:b/>
                <w:sz w:val="24"/>
                <w:szCs w:val="24"/>
                <w:lang w:eastAsia="en-GB"/>
              </w:rPr>
            </w:pPr>
            <w:r w:rsidRPr="00043638">
              <w:rPr>
                <w:rFonts w:ascii="Calibri" w:eastAsia="Times New Roman" w:hAnsi="Calibri" w:cs="Times New Roman"/>
                <w:sz w:val="24"/>
                <w:szCs w:val="24"/>
                <w:lang w:eastAsia="en-GB"/>
              </w:rPr>
              <w:t>NHS Price</w:t>
            </w:r>
          </w:p>
        </w:tc>
        <w:tc>
          <w:tcPr>
            <w:tcW w:w="1725" w:type="dxa"/>
          </w:tcPr>
          <w:p w:rsidR="00C41A17" w:rsidRPr="00043638" w:rsidRDefault="00C41A17" w:rsidP="00750112">
            <w:pPr>
              <w:autoSpaceDE w:val="0"/>
              <w:autoSpaceDN w:val="0"/>
              <w:adjustRightInd w:val="0"/>
              <w:spacing w:after="0" w:line="240" w:lineRule="auto"/>
              <w:ind w:left="-100"/>
              <w:jc w:val="center"/>
              <w:rPr>
                <w:rFonts w:ascii="Calibri" w:hAnsi="Calibri" w:cs="Calibri"/>
                <w:color w:val="000000"/>
                <w:sz w:val="24"/>
                <w:szCs w:val="24"/>
              </w:rPr>
            </w:pPr>
            <w:r w:rsidRPr="00043638">
              <w:rPr>
                <w:rFonts w:ascii="Calibri" w:hAnsi="Calibri" w:cs="Calibri"/>
                <w:color w:val="000000"/>
                <w:sz w:val="24"/>
                <w:szCs w:val="24"/>
              </w:rPr>
              <w:t>£6.59</w:t>
            </w:r>
          </w:p>
        </w:tc>
      </w:tr>
      <w:tr w:rsidR="00C41A17" w:rsidRPr="00043638" w:rsidTr="00750112">
        <w:trPr>
          <w:trHeight w:val="190"/>
        </w:trPr>
        <w:tc>
          <w:tcPr>
            <w:tcW w:w="5341" w:type="dxa"/>
          </w:tcPr>
          <w:p w:rsidR="00C41A17" w:rsidRPr="00043638" w:rsidRDefault="00C41A17" w:rsidP="00750112">
            <w:pPr>
              <w:spacing w:after="0" w:line="240" w:lineRule="auto"/>
              <w:rPr>
                <w:rFonts w:ascii="Calibri" w:eastAsia="Times New Roman" w:hAnsi="Calibri" w:cs="Times New Roman"/>
                <w:b/>
                <w:sz w:val="24"/>
                <w:szCs w:val="24"/>
                <w:lang w:eastAsia="en-GB"/>
              </w:rPr>
            </w:pPr>
            <w:r w:rsidRPr="00043638">
              <w:rPr>
                <w:rFonts w:ascii="Calibri" w:eastAsia="Times New Roman" w:hAnsi="Calibri" w:cs="Times New Roman"/>
                <w:sz w:val="24"/>
                <w:szCs w:val="24"/>
                <w:lang w:eastAsia="en-GB"/>
              </w:rPr>
              <w:t>Dispensing Fee*</w:t>
            </w:r>
          </w:p>
        </w:tc>
        <w:tc>
          <w:tcPr>
            <w:tcW w:w="1725" w:type="dxa"/>
          </w:tcPr>
          <w:p w:rsidR="00C41A17" w:rsidRPr="00043638" w:rsidRDefault="00C41A17" w:rsidP="00750112">
            <w:pPr>
              <w:autoSpaceDE w:val="0"/>
              <w:autoSpaceDN w:val="0"/>
              <w:adjustRightInd w:val="0"/>
              <w:spacing w:after="0" w:line="240" w:lineRule="auto"/>
              <w:ind w:left="-100"/>
              <w:jc w:val="center"/>
              <w:rPr>
                <w:rFonts w:ascii="Calibri" w:hAnsi="Calibri" w:cs="Calibri"/>
                <w:color w:val="000000"/>
                <w:sz w:val="24"/>
                <w:szCs w:val="24"/>
              </w:rPr>
            </w:pPr>
            <w:r w:rsidRPr="002217DE">
              <w:rPr>
                <w:rFonts w:ascii="Calibri" w:hAnsi="Calibri" w:cs="Calibri"/>
                <w:color w:val="000000"/>
                <w:sz w:val="24"/>
                <w:szCs w:val="24"/>
              </w:rPr>
              <w:t>£2.209</w:t>
            </w:r>
          </w:p>
        </w:tc>
      </w:tr>
      <w:tr w:rsidR="00C41A17" w:rsidRPr="00043638" w:rsidTr="00750112">
        <w:trPr>
          <w:trHeight w:val="190"/>
        </w:trPr>
        <w:tc>
          <w:tcPr>
            <w:tcW w:w="5341" w:type="dxa"/>
          </w:tcPr>
          <w:p w:rsidR="00C41A17" w:rsidRPr="00043638" w:rsidRDefault="00C41A17" w:rsidP="00750112">
            <w:pPr>
              <w:spacing w:after="0" w:line="240" w:lineRule="auto"/>
              <w:rPr>
                <w:rFonts w:ascii="Calibri" w:eastAsia="Times New Roman" w:hAnsi="Calibri" w:cs="Times New Roman"/>
                <w:b/>
                <w:sz w:val="24"/>
                <w:szCs w:val="24"/>
                <w:lang w:eastAsia="en-GB"/>
              </w:rPr>
            </w:pPr>
            <w:r w:rsidRPr="00043638">
              <w:rPr>
                <w:rFonts w:ascii="Calibri" w:eastAsia="Times New Roman" w:hAnsi="Calibri" w:cs="Times New Roman"/>
                <w:sz w:val="24"/>
                <w:szCs w:val="24"/>
                <w:lang w:eastAsia="en-GB"/>
              </w:rPr>
              <w:t>VAT (20%)</w:t>
            </w:r>
          </w:p>
        </w:tc>
        <w:tc>
          <w:tcPr>
            <w:tcW w:w="1725" w:type="dxa"/>
          </w:tcPr>
          <w:p w:rsidR="00C41A17" w:rsidRPr="00043638" w:rsidRDefault="00C41A17" w:rsidP="00750112">
            <w:pPr>
              <w:autoSpaceDE w:val="0"/>
              <w:autoSpaceDN w:val="0"/>
              <w:adjustRightInd w:val="0"/>
              <w:spacing w:after="0" w:line="240" w:lineRule="auto"/>
              <w:ind w:left="-100"/>
              <w:jc w:val="center"/>
              <w:rPr>
                <w:rFonts w:ascii="Calibri" w:hAnsi="Calibri" w:cs="Calibri"/>
                <w:color w:val="000000"/>
                <w:sz w:val="24"/>
                <w:szCs w:val="24"/>
              </w:rPr>
            </w:pPr>
            <w:r w:rsidRPr="00043638">
              <w:rPr>
                <w:rFonts w:ascii="Calibri" w:hAnsi="Calibri" w:cs="Calibri"/>
                <w:color w:val="000000"/>
                <w:sz w:val="24"/>
                <w:szCs w:val="24"/>
              </w:rPr>
              <w:t>£1.32</w:t>
            </w:r>
          </w:p>
        </w:tc>
      </w:tr>
      <w:tr w:rsidR="00C41A17" w:rsidRPr="00043638" w:rsidTr="00750112">
        <w:trPr>
          <w:trHeight w:val="156"/>
        </w:trPr>
        <w:tc>
          <w:tcPr>
            <w:tcW w:w="5341" w:type="dxa"/>
          </w:tcPr>
          <w:p w:rsidR="00C41A17" w:rsidRPr="00043638" w:rsidRDefault="00C41A17" w:rsidP="00750112">
            <w:pPr>
              <w:spacing w:after="0" w:line="240" w:lineRule="auto"/>
              <w:rPr>
                <w:rFonts w:ascii="Calibri" w:eastAsia="Times New Roman" w:hAnsi="Calibri" w:cs="Times New Roman"/>
                <w:b/>
                <w:sz w:val="28"/>
                <w:szCs w:val="24"/>
                <w:lang w:eastAsia="en-GB"/>
              </w:rPr>
            </w:pPr>
            <w:r w:rsidRPr="00043638">
              <w:rPr>
                <w:rFonts w:ascii="Calibri" w:eastAsia="Times New Roman" w:hAnsi="Calibri" w:cs="Times New Roman"/>
                <w:b/>
                <w:sz w:val="28"/>
                <w:szCs w:val="24"/>
                <w:lang w:eastAsia="en-GB"/>
              </w:rPr>
              <w:t xml:space="preserve">Total NHS Reimbursement </w:t>
            </w:r>
          </w:p>
        </w:tc>
        <w:tc>
          <w:tcPr>
            <w:tcW w:w="1725" w:type="dxa"/>
          </w:tcPr>
          <w:p w:rsidR="00C41A17" w:rsidRPr="00043638" w:rsidRDefault="00C41A17" w:rsidP="00750112">
            <w:pPr>
              <w:autoSpaceDE w:val="0"/>
              <w:autoSpaceDN w:val="0"/>
              <w:adjustRightInd w:val="0"/>
              <w:spacing w:after="0" w:line="240" w:lineRule="auto"/>
              <w:ind w:left="-100"/>
              <w:jc w:val="center"/>
              <w:rPr>
                <w:rFonts w:ascii="Calibri" w:hAnsi="Calibri" w:cs="Calibri"/>
                <w:b/>
                <w:color w:val="000000"/>
                <w:sz w:val="28"/>
                <w:szCs w:val="24"/>
              </w:rPr>
            </w:pPr>
            <w:r w:rsidRPr="00043638">
              <w:rPr>
                <w:rFonts w:ascii="Calibri" w:hAnsi="Calibri" w:cs="Calibri"/>
                <w:b/>
                <w:color w:val="000000"/>
                <w:sz w:val="28"/>
                <w:szCs w:val="24"/>
              </w:rPr>
              <w:t>£10.</w:t>
            </w:r>
            <w:r>
              <w:rPr>
                <w:rFonts w:ascii="Calibri" w:hAnsi="Calibri" w:cs="Calibri"/>
                <w:b/>
                <w:color w:val="000000"/>
                <w:sz w:val="28"/>
                <w:szCs w:val="24"/>
              </w:rPr>
              <w:t>12</w:t>
            </w:r>
          </w:p>
        </w:tc>
      </w:tr>
      <w:tr w:rsidR="00C41A17" w:rsidRPr="00043638" w:rsidTr="00750112">
        <w:trPr>
          <w:trHeight w:val="156"/>
        </w:trPr>
        <w:tc>
          <w:tcPr>
            <w:tcW w:w="5341" w:type="dxa"/>
          </w:tcPr>
          <w:p w:rsidR="00C41A17" w:rsidRPr="00043638" w:rsidRDefault="00C41A17" w:rsidP="00750112">
            <w:pPr>
              <w:spacing w:after="0" w:line="240" w:lineRule="auto"/>
              <w:rPr>
                <w:rFonts w:ascii="Calibri" w:eastAsia="Times New Roman" w:hAnsi="Calibri" w:cs="Times New Roman"/>
                <w:sz w:val="24"/>
                <w:szCs w:val="24"/>
                <w:lang w:eastAsia="en-GB"/>
              </w:rPr>
            </w:pPr>
            <w:r w:rsidRPr="00043638">
              <w:rPr>
                <w:rFonts w:ascii="Calibri" w:eastAsia="Times New Roman" w:hAnsi="Calibri" w:cs="Times New Roman"/>
                <w:sz w:val="24"/>
                <w:szCs w:val="24"/>
                <w:lang w:eastAsia="en-GB"/>
              </w:rPr>
              <w:t>Actual cost after discount (</w:t>
            </w:r>
            <w:r>
              <w:rPr>
                <w:rFonts w:ascii="Calibri" w:eastAsia="Times New Roman" w:hAnsi="Calibri" w:cs="Times New Roman"/>
                <w:sz w:val="24"/>
                <w:szCs w:val="24"/>
                <w:lang w:eastAsia="en-GB"/>
              </w:rPr>
              <w:t>60</w:t>
            </w:r>
            <w:r w:rsidRPr="00043638">
              <w:rPr>
                <w:rFonts w:ascii="Calibri" w:eastAsia="Times New Roman" w:hAnsi="Calibri" w:cs="Times New Roman"/>
                <w:sz w:val="24"/>
                <w:szCs w:val="24"/>
                <w:lang w:eastAsia="en-GB"/>
              </w:rPr>
              <w:t>%)</w:t>
            </w:r>
          </w:p>
        </w:tc>
        <w:tc>
          <w:tcPr>
            <w:tcW w:w="1725" w:type="dxa"/>
          </w:tcPr>
          <w:p w:rsidR="00C41A17" w:rsidRPr="00B772C7" w:rsidRDefault="00C41A17" w:rsidP="00750112">
            <w:pPr>
              <w:pStyle w:val="NoSpacing"/>
              <w:jc w:val="center"/>
              <w:rPr>
                <w:sz w:val="24"/>
              </w:rPr>
            </w:pPr>
            <w:r w:rsidRPr="00B772C7">
              <w:rPr>
                <w:sz w:val="24"/>
              </w:rPr>
              <w:t>£2.</w:t>
            </w:r>
            <w:r>
              <w:rPr>
                <w:sz w:val="24"/>
              </w:rPr>
              <w:t>64</w:t>
            </w:r>
          </w:p>
        </w:tc>
      </w:tr>
      <w:tr w:rsidR="00C41A17" w:rsidRPr="00043638" w:rsidTr="00750112">
        <w:trPr>
          <w:trHeight w:val="140"/>
        </w:trPr>
        <w:tc>
          <w:tcPr>
            <w:tcW w:w="5341" w:type="dxa"/>
          </w:tcPr>
          <w:p w:rsidR="00C41A17" w:rsidRPr="00043638" w:rsidRDefault="00C41A17" w:rsidP="00750112">
            <w:pPr>
              <w:spacing w:after="0" w:line="240" w:lineRule="auto"/>
              <w:rPr>
                <w:rFonts w:ascii="Calibri" w:eastAsia="Times New Roman" w:hAnsi="Calibri" w:cs="Times New Roman"/>
                <w:sz w:val="24"/>
                <w:szCs w:val="24"/>
                <w:lang w:eastAsia="en-GB"/>
              </w:rPr>
            </w:pPr>
            <w:r w:rsidRPr="00043638">
              <w:rPr>
                <w:rFonts w:ascii="Calibri" w:eastAsia="Times New Roman" w:hAnsi="Calibri" w:cs="Times New Roman"/>
                <w:sz w:val="24"/>
                <w:szCs w:val="24"/>
                <w:lang w:eastAsia="en-GB"/>
              </w:rPr>
              <w:t>VAT (20%)</w:t>
            </w:r>
          </w:p>
        </w:tc>
        <w:tc>
          <w:tcPr>
            <w:tcW w:w="1725" w:type="dxa"/>
          </w:tcPr>
          <w:p w:rsidR="00C41A17" w:rsidRPr="00B772C7" w:rsidRDefault="00C41A17" w:rsidP="00750112">
            <w:pPr>
              <w:pStyle w:val="NoSpacing"/>
              <w:jc w:val="center"/>
              <w:rPr>
                <w:sz w:val="24"/>
              </w:rPr>
            </w:pPr>
            <w:r w:rsidRPr="00B772C7">
              <w:rPr>
                <w:sz w:val="24"/>
              </w:rPr>
              <w:t>£0.5</w:t>
            </w:r>
            <w:r>
              <w:rPr>
                <w:sz w:val="24"/>
              </w:rPr>
              <w:t>3</w:t>
            </w:r>
          </w:p>
        </w:tc>
      </w:tr>
      <w:tr w:rsidR="00C41A17" w:rsidRPr="00043638" w:rsidTr="00750112">
        <w:trPr>
          <w:trHeight w:val="234"/>
        </w:trPr>
        <w:tc>
          <w:tcPr>
            <w:tcW w:w="5341" w:type="dxa"/>
          </w:tcPr>
          <w:p w:rsidR="00C41A17" w:rsidRPr="00043638" w:rsidRDefault="00C41A17" w:rsidP="00750112">
            <w:pPr>
              <w:spacing w:after="0" w:line="240" w:lineRule="auto"/>
              <w:rPr>
                <w:rFonts w:ascii="Calibri" w:eastAsia="Times New Roman" w:hAnsi="Calibri" w:cs="Times New Roman"/>
                <w:sz w:val="24"/>
                <w:szCs w:val="24"/>
                <w:lang w:eastAsia="en-GB"/>
              </w:rPr>
            </w:pPr>
            <w:r w:rsidRPr="00043638">
              <w:rPr>
                <w:rFonts w:ascii="Calibri" w:eastAsia="Times New Roman" w:hAnsi="Calibri" w:cs="Times New Roman"/>
                <w:sz w:val="24"/>
                <w:szCs w:val="24"/>
                <w:lang w:eastAsia="en-GB"/>
              </w:rPr>
              <w:t>Total cost to practice</w:t>
            </w:r>
          </w:p>
        </w:tc>
        <w:tc>
          <w:tcPr>
            <w:tcW w:w="1725" w:type="dxa"/>
          </w:tcPr>
          <w:p w:rsidR="00C41A17" w:rsidRPr="00B772C7" w:rsidRDefault="00C41A17" w:rsidP="00750112">
            <w:pPr>
              <w:pStyle w:val="NoSpacing"/>
              <w:jc w:val="center"/>
              <w:rPr>
                <w:sz w:val="24"/>
              </w:rPr>
            </w:pPr>
            <w:r w:rsidRPr="00B772C7">
              <w:rPr>
                <w:sz w:val="24"/>
              </w:rPr>
              <w:t>£3.</w:t>
            </w:r>
            <w:r>
              <w:rPr>
                <w:sz w:val="24"/>
              </w:rPr>
              <w:t>17</w:t>
            </w:r>
          </w:p>
        </w:tc>
      </w:tr>
      <w:tr w:rsidR="00C41A17" w:rsidRPr="00043638" w:rsidTr="00750112">
        <w:trPr>
          <w:trHeight w:val="140"/>
        </w:trPr>
        <w:tc>
          <w:tcPr>
            <w:tcW w:w="5341" w:type="dxa"/>
            <w:tcBorders>
              <w:bottom w:val="single" w:sz="4" w:space="0" w:color="auto"/>
            </w:tcBorders>
          </w:tcPr>
          <w:p w:rsidR="00C41A17" w:rsidRPr="00043638" w:rsidRDefault="00C41A17" w:rsidP="00750112">
            <w:pPr>
              <w:spacing w:after="0" w:line="240" w:lineRule="auto"/>
              <w:rPr>
                <w:rFonts w:ascii="Calibri" w:eastAsia="Times New Roman" w:hAnsi="Calibri" w:cs="Times New Roman"/>
                <w:b/>
                <w:sz w:val="28"/>
                <w:szCs w:val="24"/>
                <w:lang w:eastAsia="en-GB"/>
              </w:rPr>
            </w:pPr>
            <w:r w:rsidRPr="00043638">
              <w:rPr>
                <w:rFonts w:ascii="Calibri" w:eastAsia="Times New Roman" w:hAnsi="Calibri" w:cs="Times New Roman"/>
                <w:b/>
                <w:sz w:val="28"/>
                <w:szCs w:val="24"/>
                <w:lang w:eastAsia="en-GB"/>
              </w:rPr>
              <w:t xml:space="preserve">Total Profit Per Dose (PPD) </w:t>
            </w:r>
          </w:p>
        </w:tc>
        <w:tc>
          <w:tcPr>
            <w:tcW w:w="1725" w:type="dxa"/>
            <w:tcBorders>
              <w:bottom w:val="single" w:sz="4" w:space="0" w:color="auto"/>
            </w:tcBorders>
          </w:tcPr>
          <w:p w:rsidR="00C41A17" w:rsidRPr="00B772C7" w:rsidRDefault="00C41A17" w:rsidP="00750112">
            <w:pPr>
              <w:pStyle w:val="NoSpacing"/>
              <w:jc w:val="center"/>
              <w:rPr>
                <w:b/>
                <w:sz w:val="24"/>
              </w:rPr>
            </w:pPr>
            <w:r w:rsidRPr="00B772C7">
              <w:rPr>
                <w:b/>
                <w:sz w:val="28"/>
              </w:rPr>
              <w:t>£</w:t>
            </w:r>
            <w:r>
              <w:rPr>
                <w:b/>
                <w:sz w:val="28"/>
              </w:rPr>
              <w:t>6.95</w:t>
            </w:r>
          </w:p>
        </w:tc>
      </w:tr>
    </w:tbl>
    <w:p w:rsidR="00C41A17" w:rsidRDefault="00C41A17" w:rsidP="00CB41C9">
      <w:pPr>
        <w:autoSpaceDE w:val="0"/>
        <w:autoSpaceDN w:val="0"/>
        <w:adjustRightInd w:val="0"/>
        <w:spacing w:after="0" w:line="240" w:lineRule="auto"/>
        <w:jc w:val="center"/>
        <w:rPr>
          <w:rFonts w:ascii="Calibri" w:hAnsi="Calibri" w:cs="Calibri"/>
          <w:b/>
          <w:color w:val="000000"/>
          <w:sz w:val="24"/>
          <w:szCs w:val="32"/>
        </w:rPr>
      </w:pPr>
    </w:p>
    <w:p w:rsidR="00C41A17" w:rsidRPr="00043638" w:rsidRDefault="00C41A17" w:rsidP="00C41A17">
      <w:pPr>
        <w:autoSpaceDE w:val="0"/>
        <w:autoSpaceDN w:val="0"/>
        <w:adjustRightInd w:val="0"/>
        <w:spacing w:after="0" w:line="240" w:lineRule="auto"/>
        <w:rPr>
          <w:rFonts w:ascii="Calibri" w:hAnsi="Calibri" w:cs="Calibri"/>
          <w:b/>
          <w:color w:val="000000"/>
          <w:sz w:val="32"/>
          <w:szCs w:val="32"/>
        </w:rPr>
      </w:pPr>
      <w:r w:rsidRPr="00043638">
        <w:rPr>
          <w:rFonts w:ascii="Calibri" w:hAnsi="Calibri" w:cs="Calibri"/>
          <w:b/>
          <w:color w:val="000000"/>
          <w:sz w:val="32"/>
          <w:szCs w:val="32"/>
        </w:rPr>
        <w:t>Imuvac</w:t>
      </w:r>
    </w:p>
    <w:p w:rsidR="00C41A17" w:rsidRPr="00253888" w:rsidRDefault="00C41A17" w:rsidP="00C41A17">
      <w:pPr>
        <w:autoSpaceDE w:val="0"/>
        <w:autoSpaceDN w:val="0"/>
        <w:adjustRightInd w:val="0"/>
        <w:spacing w:after="0" w:line="240" w:lineRule="auto"/>
        <w:rPr>
          <w:rFonts w:ascii="Calibri" w:hAnsi="Calibri" w:cs="Calibri"/>
          <w:b/>
          <w:color w:val="000000"/>
          <w:sz w:val="24"/>
          <w:szCs w:val="32"/>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6"/>
        <w:gridCol w:w="1701"/>
      </w:tblGrid>
      <w:tr w:rsidR="00C41A17" w:rsidRPr="00043638" w:rsidTr="00750112">
        <w:trPr>
          <w:trHeight w:val="167"/>
        </w:trPr>
        <w:tc>
          <w:tcPr>
            <w:tcW w:w="5316" w:type="dxa"/>
          </w:tcPr>
          <w:p w:rsidR="00C41A17" w:rsidRPr="00043638" w:rsidRDefault="00C41A17" w:rsidP="00750112">
            <w:pPr>
              <w:spacing w:after="0" w:line="240" w:lineRule="auto"/>
              <w:rPr>
                <w:rFonts w:ascii="Calibri" w:eastAsia="Times New Roman" w:hAnsi="Calibri" w:cs="Times New Roman"/>
                <w:b/>
                <w:sz w:val="24"/>
                <w:szCs w:val="24"/>
                <w:lang w:eastAsia="en-GB"/>
              </w:rPr>
            </w:pPr>
            <w:r w:rsidRPr="00043638">
              <w:rPr>
                <w:rFonts w:ascii="Calibri" w:eastAsia="Times New Roman" w:hAnsi="Calibri" w:cs="Times New Roman"/>
                <w:sz w:val="24"/>
                <w:szCs w:val="24"/>
                <w:lang w:eastAsia="en-GB"/>
              </w:rPr>
              <w:t>NHS Price</w:t>
            </w:r>
          </w:p>
        </w:tc>
        <w:tc>
          <w:tcPr>
            <w:tcW w:w="1701" w:type="dxa"/>
          </w:tcPr>
          <w:p w:rsidR="00C41A17" w:rsidRPr="00043638" w:rsidRDefault="00C41A17" w:rsidP="00750112">
            <w:pPr>
              <w:autoSpaceDE w:val="0"/>
              <w:autoSpaceDN w:val="0"/>
              <w:adjustRightInd w:val="0"/>
              <w:spacing w:after="0" w:line="240" w:lineRule="auto"/>
              <w:ind w:left="-100"/>
              <w:jc w:val="center"/>
              <w:rPr>
                <w:rFonts w:ascii="Calibri" w:hAnsi="Calibri" w:cs="Calibri"/>
                <w:color w:val="000000"/>
                <w:sz w:val="24"/>
                <w:szCs w:val="24"/>
              </w:rPr>
            </w:pPr>
            <w:r w:rsidRPr="00043638">
              <w:rPr>
                <w:rFonts w:ascii="Calibri" w:hAnsi="Calibri" w:cs="Calibri"/>
                <w:color w:val="000000"/>
                <w:sz w:val="24"/>
                <w:szCs w:val="24"/>
              </w:rPr>
              <w:t>£6.59</w:t>
            </w:r>
          </w:p>
        </w:tc>
      </w:tr>
      <w:tr w:rsidR="00C41A17" w:rsidRPr="00043638" w:rsidTr="00750112">
        <w:trPr>
          <w:trHeight w:val="190"/>
        </w:trPr>
        <w:tc>
          <w:tcPr>
            <w:tcW w:w="5316" w:type="dxa"/>
          </w:tcPr>
          <w:p w:rsidR="00C41A17" w:rsidRPr="00043638" w:rsidRDefault="00C41A17" w:rsidP="00750112">
            <w:pPr>
              <w:spacing w:after="0" w:line="240" w:lineRule="auto"/>
              <w:rPr>
                <w:rFonts w:ascii="Calibri" w:eastAsia="Times New Roman" w:hAnsi="Calibri" w:cs="Times New Roman"/>
                <w:b/>
                <w:sz w:val="24"/>
                <w:szCs w:val="24"/>
                <w:lang w:eastAsia="en-GB"/>
              </w:rPr>
            </w:pPr>
            <w:r w:rsidRPr="00043638">
              <w:rPr>
                <w:rFonts w:ascii="Calibri" w:eastAsia="Times New Roman" w:hAnsi="Calibri" w:cs="Times New Roman"/>
                <w:sz w:val="24"/>
                <w:szCs w:val="24"/>
                <w:lang w:eastAsia="en-GB"/>
              </w:rPr>
              <w:t>Dispensing Fee*</w:t>
            </w:r>
          </w:p>
        </w:tc>
        <w:tc>
          <w:tcPr>
            <w:tcW w:w="1701" w:type="dxa"/>
          </w:tcPr>
          <w:p w:rsidR="00C41A17" w:rsidRPr="00043638" w:rsidRDefault="00C41A17" w:rsidP="00750112">
            <w:pPr>
              <w:autoSpaceDE w:val="0"/>
              <w:autoSpaceDN w:val="0"/>
              <w:adjustRightInd w:val="0"/>
              <w:spacing w:after="0" w:line="240" w:lineRule="auto"/>
              <w:ind w:left="-100"/>
              <w:jc w:val="center"/>
              <w:rPr>
                <w:rFonts w:ascii="Calibri" w:hAnsi="Calibri" w:cs="Calibri"/>
                <w:color w:val="000000"/>
                <w:sz w:val="24"/>
                <w:szCs w:val="24"/>
              </w:rPr>
            </w:pPr>
            <w:r w:rsidRPr="002217DE">
              <w:rPr>
                <w:rFonts w:ascii="Calibri" w:hAnsi="Calibri" w:cs="Calibri"/>
                <w:color w:val="000000"/>
                <w:sz w:val="24"/>
                <w:szCs w:val="24"/>
              </w:rPr>
              <w:t>£2.209</w:t>
            </w:r>
          </w:p>
        </w:tc>
      </w:tr>
      <w:tr w:rsidR="00C41A17" w:rsidRPr="00043638" w:rsidTr="00750112">
        <w:trPr>
          <w:trHeight w:val="190"/>
        </w:trPr>
        <w:tc>
          <w:tcPr>
            <w:tcW w:w="5316" w:type="dxa"/>
          </w:tcPr>
          <w:p w:rsidR="00C41A17" w:rsidRPr="00043638" w:rsidRDefault="00C41A17" w:rsidP="00750112">
            <w:pPr>
              <w:spacing w:after="0" w:line="240" w:lineRule="auto"/>
              <w:rPr>
                <w:rFonts w:ascii="Calibri" w:eastAsia="Times New Roman" w:hAnsi="Calibri" w:cs="Times New Roman"/>
                <w:b/>
                <w:sz w:val="24"/>
                <w:szCs w:val="24"/>
                <w:lang w:eastAsia="en-GB"/>
              </w:rPr>
            </w:pPr>
            <w:r w:rsidRPr="00043638">
              <w:rPr>
                <w:rFonts w:ascii="Calibri" w:eastAsia="Times New Roman" w:hAnsi="Calibri" w:cs="Times New Roman"/>
                <w:sz w:val="24"/>
                <w:szCs w:val="24"/>
                <w:lang w:eastAsia="en-GB"/>
              </w:rPr>
              <w:t>VAT (20%)</w:t>
            </w:r>
          </w:p>
        </w:tc>
        <w:tc>
          <w:tcPr>
            <w:tcW w:w="1701" w:type="dxa"/>
          </w:tcPr>
          <w:p w:rsidR="00C41A17" w:rsidRPr="00043638" w:rsidRDefault="00C41A17" w:rsidP="00750112">
            <w:pPr>
              <w:autoSpaceDE w:val="0"/>
              <w:autoSpaceDN w:val="0"/>
              <w:adjustRightInd w:val="0"/>
              <w:spacing w:after="0" w:line="240" w:lineRule="auto"/>
              <w:ind w:left="-100"/>
              <w:jc w:val="center"/>
              <w:rPr>
                <w:rFonts w:ascii="Calibri" w:hAnsi="Calibri" w:cs="Calibri"/>
                <w:color w:val="000000"/>
                <w:sz w:val="24"/>
                <w:szCs w:val="24"/>
              </w:rPr>
            </w:pPr>
            <w:r w:rsidRPr="00043638">
              <w:rPr>
                <w:rFonts w:ascii="Calibri" w:hAnsi="Calibri" w:cs="Calibri"/>
                <w:color w:val="000000"/>
                <w:sz w:val="24"/>
                <w:szCs w:val="24"/>
              </w:rPr>
              <w:t>£1.32</w:t>
            </w:r>
          </w:p>
        </w:tc>
      </w:tr>
      <w:tr w:rsidR="00C41A17" w:rsidRPr="00043638" w:rsidTr="00750112">
        <w:trPr>
          <w:trHeight w:val="156"/>
        </w:trPr>
        <w:tc>
          <w:tcPr>
            <w:tcW w:w="5316" w:type="dxa"/>
          </w:tcPr>
          <w:p w:rsidR="00C41A17" w:rsidRPr="00043638" w:rsidRDefault="00C41A17" w:rsidP="00750112">
            <w:pPr>
              <w:spacing w:after="0" w:line="240" w:lineRule="auto"/>
              <w:rPr>
                <w:rFonts w:ascii="Calibri" w:eastAsia="Times New Roman" w:hAnsi="Calibri" w:cs="Times New Roman"/>
                <w:b/>
                <w:sz w:val="28"/>
                <w:szCs w:val="24"/>
                <w:lang w:eastAsia="en-GB"/>
              </w:rPr>
            </w:pPr>
            <w:r w:rsidRPr="00043638">
              <w:rPr>
                <w:rFonts w:ascii="Calibri" w:eastAsia="Times New Roman" w:hAnsi="Calibri" w:cs="Times New Roman"/>
                <w:b/>
                <w:sz w:val="28"/>
                <w:szCs w:val="24"/>
                <w:lang w:eastAsia="en-GB"/>
              </w:rPr>
              <w:t>Total NHS Reimbursement</w:t>
            </w:r>
          </w:p>
        </w:tc>
        <w:tc>
          <w:tcPr>
            <w:tcW w:w="1701" w:type="dxa"/>
          </w:tcPr>
          <w:p w:rsidR="00C41A17" w:rsidRPr="00043638" w:rsidRDefault="00C41A17" w:rsidP="00750112">
            <w:pPr>
              <w:autoSpaceDE w:val="0"/>
              <w:autoSpaceDN w:val="0"/>
              <w:adjustRightInd w:val="0"/>
              <w:spacing w:after="0" w:line="240" w:lineRule="auto"/>
              <w:ind w:left="-100"/>
              <w:jc w:val="center"/>
              <w:rPr>
                <w:rFonts w:ascii="Calibri" w:hAnsi="Calibri" w:cs="Calibri"/>
                <w:b/>
                <w:color w:val="000000"/>
                <w:sz w:val="28"/>
                <w:szCs w:val="24"/>
              </w:rPr>
            </w:pPr>
            <w:r w:rsidRPr="00043638">
              <w:rPr>
                <w:rFonts w:ascii="Calibri" w:hAnsi="Calibri" w:cs="Calibri"/>
                <w:b/>
                <w:color w:val="000000"/>
                <w:sz w:val="28"/>
                <w:szCs w:val="24"/>
              </w:rPr>
              <w:t>£10.</w:t>
            </w:r>
            <w:r>
              <w:rPr>
                <w:rFonts w:ascii="Calibri" w:hAnsi="Calibri" w:cs="Calibri"/>
                <w:b/>
                <w:color w:val="000000"/>
                <w:sz w:val="28"/>
                <w:szCs w:val="24"/>
              </w:rPr>
              <w:t>12</w:t>
            </w:r>
          </w:p>
        </w:tc>
      </w:tr>
      <w:tr w:rsidR="00C41A17" w:rsidRPr="00043638" w:rsidTr="00750112">
        <w:trPr>
          <w:trHeight w:val="156"/>
        </w:trPr>
        <w:tc>
          <w:tcPr>
            <w:tcW w:w="5316" w:type="dxa"/>
          </w:tcPr>
          <w:p w:rsidR="00C41A17" w:rsidRPr="00043638" w:rsidRDefault="00C41A17" w:rsidP="00750112">
            <w:pPr>
              <w:spacing w:after="0" w:line="240" w:lineRule="auto"/>
              <w:rPr>
                <w:rFonts w:ascii="Calibri" w:eastAsia="Times New Roman" w:hAnsi="Calibri" w:cs="Times New Roman"/>
                <w:sz w:val="24"/>
                <w:szCs w:val="24"/>
                <w:lang w:eastAsia="en-GB"/>
              </w:rPr>
            </w:pPr>
            <w:r w:rsidRPr="00043638">
              <w:rPr>
                <w:rFonts w:ascii="Calibri" w:eastAsia="Times New Roman" w:hAnsi="Calibri" w:cs="Times New Roman"/>
                <w:sz w:val="24"/>
                <w:szCs w:val="24"/>
                <w:lang w:eastAsia="en-GB"/>
              </w:rPr>
              <w:t>Actual cost after discount (</w:t>
            </w:r>
            <w:r>
              <w:rPr>
                <w:rFonts w:ascii="Calibri" w:eastAsia="Times New Roman" w:hAnsi="Calibri" w:cs="Times New Roman"/>
                <w:sz w:val="24"/>
                <w:szCs w:val="24"/>
                <w:lang w:eastAsia="en-GB"/>
              </w:rPr>
              <w:t>56</w:t>
            </w:r>
            <w:r w:rsidRPr="00043638">
              <w:rPr>
                <w:rFonts w:ascii="Calibri" w:eastAsia="Times New Roman" w:hAnsi="Calibri" w:cs="Times New Roman"/>
                <w:sz w:val="24"/>
                <w:szCs w:val="24"/>
                <w:lang w:eastAsia="en-GB"/>
              </w:rPr>
              <w:t>%</w:t>
            </w:r>
            <w:r>
              <w:rPr>
                <w:rFonts w:ascii="Calibri" w:eastAsia="Times New Roman" w:hAnsi="Calibri" w:cs="Times New Roman"/>
                <w:sz w:val="24"/>
                <w:szCs w:val="24"/>
                <w:lang w:eastAsia="en-GB"/>
              </w:rPr>
              <w:t>)</w:t>
            </w:r>
          </w:p>
        </w:tc>
        <w:tc>
          <w:tcPr>
            <w:tcW w:w="1701" w:type="dxa"/>
          </w:tcPr>
          <w:p w:rsidR="00C41A17" w:rsidRPr="00043638" w:rsidRDefault="00C41A17" w:rsidP="00750112">
            <w:pPr>
              <w:autoSpaceDE w:val="0"/>
              <w:autoSpaceDN w:val="0"/>
              <w:adjustRightInd w:val="0"/>
              <w:spacing w:after="0" w:line="240" w:lineRule="auto"/>
              <w:ind w:left="-100"/>
              <w:jc w:val="center"/>
              <w:rPr>
                <w:rFonts w:ascii="Calibri" w:hAnsi="Calibri" w:cs="Calibri"/>
                <w:color w:val="000000"/>
                <w:sz w:val="24"/>
                <w:szCs w:val="24"/>
              </w:rPr>
            </w:pPr>
            <w:r>
              <w:rPr>
                <w:rFonts w:ascii="Calibri" w:hAnsi="Calibri" w:cs="Calibri"/>
                <w:color w:val="000000"/>
                <w:sz w:val="24"/>
                <w:szCs w:val="24"/>
              </w:rPr>
              <w:t>£2.90</w:t>
            </w:r>
          </w:p>
        </w:tc>
      </w:tr>
      <w:tr w:rsidR="00C41A17" w:rsidRPr="00043638" w:rsidTr="00750112">
        <w:trPr>
          <w:trHeight w:val="140"/>
        </w:trPr>
        <w:tc>
          <w:tcPr>
            <w:tcW w:w="5316" w:type="dxa"/>
          </w:tcPr>
          <w:p w:rsidR="00C41A17" w:rsidRPr="00043638" w:rsidRDefault="00C41A17" w:rsidP="00750112">
            <w:pPr>
              <w:spacing w:after="0" w:line="240" w:lineRule="auto"/>
              <w:rPr>
                <w:rFonts w:ascii="Calibri" w:eastAsia="Times New Roman" w:hAnsi="Calibri" w:cs="Times New Roman"/>
                <w:sz w:val="24"/>
                <w:szCs w:val="24"/>
                <w:lang w:eastAsia="en-GB"/>
              </w:rPr>
            </w:pPr>
            <w:r w:rsidRPr="00043638">
              <w:rPr>
                <w:rFonts w:ascii="Calibri" w:eastAsia="Times New Roman" w:hAnsi="Calibri" w:cs="Times New Roman"/>
                <w:sz w:val="24"/>
                <w:szCs w:val="24"/>
                <w:lang w:eastAsia="en-GB"/>
              </w:rPr>
              <w:lastRenderedPageBreak/>
              <w:t>VAT (20%)</w:t>
            </w:r>
          </w:p>
        </w:tc>
        <w:tc>
          <w:tcPr>
            <w:tcW w:w="1701" w:type="dxa"/>
          </w:tcPr>
          <w:p w:rsidR="00C41A17" w:rsidRPr="00043638" w:rsidRDefault="00C41A17" w:rsidP="00750112">
            <w:pPr>
              <w:tabs>
                <w:tab w:val="left" w:pos="1095"/>
              </w:tabs>
              <w:autoSpaceDE w:val="0"/>
              <w:autoSpaceDN w:val="0"/>
              <w:adjustRightInd w:val="0"/>
              <w:spacing w:after="0" w:line="240" w:lineRule="auto"/>
              <w:ind w:left="-100"/>
              <w:jc w:val="center"/>
              <w:rPr>
                <w:rFonts w:ascii="Calibri" w:hAnsi="Calibri" w:cs="Calibri"/>
                <w:color w:val="000000"/>
                <w:sz w:val="24"/>
                <w:szCs w:val="24"/>
              </w:rPr>
            </w:pPr>
            <w:r>
              <w:rPr>
                <w:rFonts w:ascii="Calibri" w:hAnsi="Calibri" w:cs="Calibri"/>
                <w:color w:val="000000"/>
                <w:sz w:val="24"/>
                <w:szCs w:val="24"/>
              </w:rPr>
              <w:t>£0.58</w:t>
            </w:r>
          </w:p>
        </w:tc>
      </w:tr>
      <w:tr w:rsidR="00C41A17" w:rsidRPr="00043638" w:rsidTr="00750112">
        <w:trPr>
          <w:trHeight w:val="234"/>
        </w:trPr>
        <w:tc>
          <w:tcPr>
            <w:tcW w:w="5316" w:type="dxa"/>
          </w:tcPr>
          <w:p w:rsidR="00C41A17" w:rsidRPr="00043638" w:rsidRDefault="00C41A17" w:rsidP="00750112">
            <w:pPr>
              <w:spacing w:after="0" w:line="240" w:lineRule="auto"/>
              <w:rPr>
                <w:rFonts w:ascii="Calibri" w:eastAsia="Times New Roman" w:hAnsi="Calibri" w:cs="Times New Roman"/>
                <w:sz w:val="24"/>
                <w:szCs w:val="24"/>
                <w:lang w:eastAsia="en-GB"/>
              </w:rPr>
            </w:pPr>
            <w:r w:rsidRPr="00043638">
              <w:rPr>
                <w:rFonts w:ascii="Calibri" w:eastAsia="Times New Roman" w:hAnsi="Calibri" w:cs="Times New Roman"/>
                <w:sz w:val="24"/>
                <w:szCs w:val="24"/>
                <w:lang w:eastAsia="en-GB"/>
              </w:rPr>
              <w:t>Total cost to practice</w:t>
            </w:r>
          </w:p>
        </w:tc>
        <w:tc>
          <w:tcPr>
            <w:tcW w:w="1701" w:type="dxa"/>
          </w:tcPr>
          <w:p w:rsidR="00C41A17" w:rsidRPr="00043638" w:rsidRDefault="00C41A17" w:rsidP="00750112">
            <w:pPr>
              <w:autoSpaceDE w:val="0"/>
              <w:autoSpaceDN w:val="0"/>
              <w:adjustRightInd w:val="0"/>
              <w:spacing w:after="0" w:line="240" w:lineRule="auto"/>
              <w:ind w:left="-100"/>
              <w:jc w:val="center"/>
              <w:rPr>
                <w:rFonts w:ascii="Calibri" w:hAnsi="Calibri" w:cs="Calibri"/>
                <w:color w:val="000000"/>
                <w:sz w:val="24"/>
                <w:szCs w:val="24"/>
              </w:rPr>
            </w:pPr>
            <w:r>
              <w:rPr>
                <w:rFonts w:ascii="Calibri" w:hAnsi="Calibri" w:cs="Calibri"/>
                <w:color w:val="000000"/>
                <w:sz w:val="24"/>
                <w:szCs w:val="24"/>
              </w:rPr>
              <w:t>£3.48</w:t>
            </w:r>
          </w:p>
        </w:tc>
      </w:tr>
      <w:tr w:rsidR="00C41A17" w:rsidRPr="00043638" w:rsidTr="00750112">
        <w:trPr>
          <w:trHeight w:val="140"/>
        </w:trPr>
        <w:tc>
          <w:tcPr>
            <w:tcW w:w="5316" w:type="dxa"/>
            <w:tcBorders>
              <w:bottom w:val="single" w:sz="4" w:space="0" w:color="auto"/>
            </w:tcBorders>
          </w:tcPr>
          <w:p w:rsidR="00C41A17" w:rsidRPr="00043638" w:rsidRDefault="00C41A17" w:rsidP="00750112">
            <w:pPr>
              <w:spacing w:after="0" w:line="240" w:lineRule="auto"/>
              <w:rPr>
                <w:rFonts w:ascii="Calibri" w:eastAsia="Times New Roman" w:hAnsi="Calibri" w:cs="Times New Roman"/>
                <w:b/>
                <w:sz w:val="28"/>
                <w:szCs w:val="24"/>
                <w:lang w:eastAsia="en-GB"/>
              </w:rPr>
            </w:pPr>
            <w:r w:rsidRPr="00043638">
              <w:rPr>
                <w:rFonts w:ascii="Calibri" w:eastAsia="Times New Roman" w:hAnsi="Calibri" w:cs="Times New Roman"/>
                <w:b/>
                <w:sz w:val="28"/>
                <w:szCs w:val="24"/>
                <w:lang w:eastAsia="en-GB"/>
              </w:rPr>
              <w:t xml:space="preserve">Total Profit Per Dose (PPD) </w:t>
            </w:r>
          </w:p>
        </w:tc>
        <w:tc>
          <w:tcPr>
            <w:tcW w:w="1701" w:type="dxa"/>
            <w:tcBorders>
              <w:bottom w:val="single" w:sz="4" w:space="0" w:color="auto"/>
            </w:tcBorders>
          </w:tcPr>
          <w:p w:rsidR="00C41A17" w:rsidRPr="00043638" w:rsidRDefault="00C41A17" w:rsidP="00750112">
            <w:pPr>
              <w:autoSpaceDE w:val="0"/>
              <w:autoSpaceDN w:val="0"/>
              <w:adjustRightInd w:val="0"/>
              <w:spacing w:after="0" w:line="240" w:lineRule="auto"/>
              <w:ind w:left="-100"/>
              <w:jc w:val="center"/>
              <w:rPr>
                <w:rFonts w:ascii="Calibri" w:hAnsi="Calibri" w:cs="Calibri"/>
                <w:b/>
                <w:color w:val="000000"/>
                <w:sz w:val="28"/>
                <w:szCs w:val="24"/>
              </w:rPr>
            </w:pPr>
            <w:r w:rsidRPr="00043638">
              <w:rPr>
                <w:rFonts w:ascii="Calibri" w:hAnsi="Calibri" w:cs="Calibri"/>
                <w:b/>
                <w:color w:val="000000"/>
                <w:sz w:val="28"/>
                <w:szCs w:val="24"/>
              </w:rPr>
              <w:t>£</w:t>
            </w:r>
            <w:r>
              <w:rPr>
                <w:rFonts w:ascii="Calibri" w:hAnsi="Calibri" w:cs="Calibri"/>
                <w:b/>
                <w:color w:val="000000"/>
                <w:sz w:val="28"/>
                <w:szCs w:val="24"/>
              </w:rPr>
              <w:t>6.64</w:t>
            </w:r>
          </w:p>
        </w:tc>
      </w:tr>
    </w:tbl>
    <w:p w:rsidR="00C41A17" w:rsidRPr="00253888" w:rsidRDefault="00C41A17" w:rsidP="00CB41C9">
      <w:pPr>
        <w:autoSpaceDE w:val="0"/>
        <w:autoSpaceDN w:val="0"/>
        <w:adjustRightInd w:val="0"/>
        <w:spacing w:after="0" w:line="240" w:lineRule="auto"/>
        <w:jc w:val="center"/>
        <w:rPr>
          <w:rFonts w:ascii="Calibri" w:hAnsi="Calibri" w:cs="Calibri"/>
          <w:b/>
          <w:color w:val="000000"/>
          <w:sz w:val="24"/>
          <w:szCs w:val="32"/>
        </w:rPr>
      </w:pPr>
    </w:p>
    <w:p w:rsidR="00CB41C9" w:rsidRPr="00043638" w:rsidRDefault="00CB41C9" w:rsidP="00CB41C9">
      <w:pPr>
        <w:spacing w:after="0" w:line="240" w:lineRule="auto"/>
        <w:rPr>
          <w:rFonts w:eastAsia="Times New Roman" w:cstheme="minorHAnsi"/>
          <w:sz w:val="32"/>
          <w:szCs w:val="32"/>
          <w:lang w:eastAsia="en-GB"/>
        </w:rPr>
      </w:pPr>
      <w:r>
        <w:rPr>
          <w:rFonts w:eastAsia="Times New Roman" w:cstheme="minorHAnsi"/>
          <w:b/>
          <w:sz w:val="32"/>
          <w:szCs w:val="32"/>
          <w:lang w:eastAsia="en-GB"/>
        </w:rPr>
        <w:t>Influvac TIV</w:t>
      </w:r>
      <w:r w:rsidR="008C300F">
        <w:rPr>
          <w:rFonts w:eastAsia="Times New Roman" w:cstheme="minorHAnsi"/>
          <w:b/>
          <w:sz w:val="32"/>
          <w:szCs w:val="32"/>
          <w:lang w:eastAsia="en-GB"/>
        </w:rPr>
        <w:t xml:space="preserve"> </w:t>
      </w:r>
      <w:r w:rsidR="008C300F" w:rsidRPr="00032990">
        <w:rPr>
          <w:rFonts w:eastAsia="Times New Roman" w:cs="Times New Roman"/>
          <w:b/>
          <w:sz w:val="32"/>
          <w:szCs w:val="32"/>
        </w:rPr>
        <w:t>(low cost alternative)</w:t>
      </w:r>
    </w:p>
    <w:p w:rsidR="00CB41C9" w:rsidRPr="00043638" w:rsidRDefault="00CB41C9" w:rsidP="00CB41C9">
      <w:pPr>
        <w:spacing w:after="0" w:line="240" w:lineRule="auto"/>
        <w:rPr>
          <w:rFonts w:eastAsia="Times New Roman" w:cstheme="minorHAnsi"/>
          <w:sz w:val="32"/>
          <w:szCs w:val="32"/>
          <w:lang w:eastAsia="en-GB"/>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1"/>
        <w:gridCol w:w="1725"/>
      </w:tblGrid>
      <w:tr w:rsidR="00CB41C9" w:rsidRPr="00043638" w:rsidTr="002B7BE5">
        <w:trPr>
          <w:trHeight w:val="167"/>
        </w:trPr>
        <w:tc>
          <w:tcPr>
            <w:tcW w:w="5341" w:type="dxa"/>
          </w:tcPr>
          <w:p w:rsidR="00CB41C9" w:rsidRPr="00043638" w:rsidRDefault="00CB41C9" w:rsidP="002B7BE5">
            <w:pPr>
              <w:spacing w:after="0" w:line="240" w:lineRule="auto"/>
              <w:rPr>
                <w:rFonts w:ascii="Calibri" w:eastAsia="Times New Roman" w:hAnsi="Calibri" w:cs="Times New Roman"/>
                <w:b/>
                <w:sz w:val="24"/>
                <w:szCs w:val="24"/>
                <w:lang w:eastAsia="en-GB"/>
              </w:rPr>
            </w:pPr>
            <w:r w:rsidRPr="00043638">
              <w:rPr>
                <w:rFonts w:ascii="Calibri" w:eastAsia="Times New Roman" w:hAnsi="Calibri" w:cs="Times New Roman"/>
                <w:sz w:val="24"/>
                <w:szCs w:val="24"/>
                <w:lang w:eastAsia="en-GB"/>
              </w:rPr>
              <w:t>NHS Price</w:t>
            </w:r>
          </w:p>
        </w:tc>
        <w:tc>
          <w:tcPr>
            <w:tcW w:w="1725" w:type="dxa"/>
          </w:tcPr>
          <w:p w:rsidR="00CB41C9" w:rsidRPr="00B772C7" w:rsidRDefault="00CB41C9" w:rsidP="002B7BE5">
            <w:pPr>
              <w:pStyle w:val="NoSpacing"/>
              <w:jc w:val="center"/>
              <w:rPr>
                <w:sz w:val="24"/>
              </w:rPr>
            </w:pPr>
            <w:r w:rsidRPr="00B772C7">
              <w:rPr>
                <w:sz w:val="24"/>
              </w:rPr>
              <w:t>£5.22</w:t>
            </w:r>
          </w:p>
        </w:tc>
      </w:tr>
      <w:tr w:rsidR="00CB41C9" w:rsidRPr="00043638" w:rsidTr="002B7BE5">
        <w:trPr>
          <w:trHeight w:val="190"/>
        </w:trPr>
        <w:tc>
          <w:tcPr>
            <w:tcW w:w="5341" w:type="dxa"/>
          </w:tcPr>
          <w:p w:rsidR="00CB41C9" w:rsidRPr="00043638" w:rsidRDefault="00CB41C9" w:rsidP="002B7BE5">
            <w:pPr>
              <w:spacing w:after="0" w:line="240" w:lineRule="auto"/>
              <w:rPr>
                <w:rFonts w:ascii="Calibri" w:eastAsia="Times New Roman" w:hAnsi="Calibri" w:cs="Times New Roman"/>
                <w:b/>
                <w:sz w:val="24"/>
                <w:szCs w:val="24"/>
                <w:lang w:eastAsia="en-GB"/>
              </w:rPr>
            </w:pPr>
            <w:r w:rsidRPr="00043638">
              <w:rPr>
                <w:rFonts w:ascii="Calibri" w:eastAsia="Times New Roman" w:hAnsi="Calibri" w:cs="Times New Roman"/>
                <w:sz w:val="24"/>
                <w:szCs w:val="24"/>
                <w:lang w:eastAsia="en-GB"/>
              </w:rPr>
              <w:t>Dispensing Fee*</w:t>
            </w:r>
          </w:p>
        </w:tc>
        <w:tc>
          <w:tcPr>
            <w:tcW w:w="1725" w:type="dxa"/>
          </w:tcPr>
          <w:p w:rsidR="00CB41C9" w:rsidRPr="00B772C7" w:rsidRDefault="00CB41C9" w:rsidP="002B7BE5">
            <w:pPr>
              <w:pStyle w:val="NoSpacing"/>
              <w:jc w:val="center"/>
              <w:rPr>
                <w:sz w:val="24"/>
              </w:rPr>
            </w:pPr>
            <w:r w:rsidRPr="002217DE">
              <w:rPr>
                <w:rFonts w:ascii="Calibri" w:hAnsi="Calibri" w:cs="Calibri"/>
                <w:color w:val="000000"/>
                <w:sz w:val="24"/>
                <w:szCs w:val="24"/>
              </w:rPr>
              <w:t>£2.209</w:t>
            </w:r>
          </w:p>
        </w:tc>
      </w:tr>
      <w:tr w:rsidR="00CB41C9" w:rsidRPr="00043638" w:rsidTr="002B7BE5">
        <w:trPr>
          <w:trHeight w:val="190"/>
        </w:trPr>
        <w:tc>
          <w:tcPr>
            <w:tcW w:w="5341" w:type="dxa"/>
          </w:tcPr>
          <w:p w:rsidR="00CB41C9" w:rsidRPr="00043638" w:rsidRDefault="00CB41C9" w:rsidP="002B7BE5">
            <w:pPr>
              <w:spacing w:after="0" w:line="240" w:lineRule="auto"/>
              <w:rPr>
                <w:rFonts w:ascii="Calibri" w:eastAsia="Times New Roman" w:hAnsi="Calibri" w:cs="Times New Roman"/>
                <w:b/>
                <w:sz w:val="24"/>
                <w:szCs w:val="24"/>
                <w:lang w:eastAsia="en-GB"/>
              </w:rPr>
            </w:pPr>
            <w:r w:rsidRPr="00043638">
              <w:rPr>
                <w:rFonts w:ascii="Calibri" w:eastAsia="Times New Roman" w:hAnsi="Calibri" w:cs="Times New Roman"/>
                <w:sz w:val="24"/>
                <w:szCs w:val="24"/>
                <w:lang w:eastAsia="en-GB"/>
              </w:rPr>
              <w:t>VAT (20%)</w:t>
            </w:r>
          </w:p>
        </w:tc>
        <w:tc>
          <w:tcPr>
            <w:tcW w:w="1725" w:type="dxa"/>
          </w:tcPr>
          <w:p w:rsidR="00CB41C9" w:rsidRPr="00B772C7" w:rsidRDefault="00CB41C9" w:rsidP="002B7BE5">
            <w:pPr>
              <w:pStyle w:val="NoSpacing"/>
              <w:jc w:val="center"/>
              <w:rPr>
                <w:sz w:val="24"/>
              </w:rPr>
            </w:pPr>
            <w:r w:rsidRPr="00B772C7">
              <w:rPr>
                <w:sz w:val="24"/>
              </w:rPr>
              <w:t>£1.04</w:t>
            </w:r>
          </w:p>
        </w:tc>
      </w:tr>
      <w:tr w:rsidR="00CB41C9" w:rsidRPr="00043638" w:rsidTr="002B7BE5">
        <w:trPr>
          <w:trHeight w:val="156"/>
        </w:trPr>
        <w:tc>
          <w:tcPr>
            <w:tcW w:w="5341" w:type="dxa"/>
          </w:tcPr>
          <w:p w:rsidR="00CB41C9" w:rsidRPr="00043638" w:rsidRDefault="00CB41C9" w:rsidP="002B7BE5">
            <w:pPr>
              <w:spacing w:after="0" w:line="240" w:lineRule="auto"/>
              <w:rPr>
                <w:rFonts w:ascii="Calibri" w:eastAsia="Times New Roman" w:hAnsi="Calibri" w:cs="Times New Roman"/>
                <w:b/>
                <w:sz w:val="28"/>
                <w:szCs w:val="24"/>
                <w:lang w:eastAsia="en-GB"/>
              </w:rPr>
            </w:pPr>
            <w:r w:rsidRPr="00043638">
              <w:rPr>
                <w:rFonts w:ascii="Calibri" w:eastAsia="Times New Roman" w:hAnsi="Calibri" w:cs="Times New Roman"/>
                <w:b/>
                <w:sz w:val="28"/>
                <w:szCs w:val="24"/>
                <w:lang w:eastAsia="en-GB"/>
              </w:rPr>
              <w:t xml:space="preserve">Total NHS Reimbursement </w:t>
            </w:r>
          </w:p>
        </w:tc>
        <w:tc>
          <w:tcPr>
            <w:tcW w:w="1725" w:type="dxa"/>
          </w:tcPr>
          <w:p w:rsidR="00CB41C9" w:rsidRPr="00B772C7" w:rsidRDefault="00CB41C9" w:rsidP="002B7BE5">
            <w:pPr>
              <w:pStyle w:val="NoSpacing"/>
              <w:jc w:val="center"/>
              <w:rPr>
                <w:b/>
                <w:sz w:val="24"/>
              </w:rPr>
            </w:pPr>
            <w:r w:rsidRPr="00B772C7">
              <w:rPr>
                <w:b/>
                <w:sz w:val="28"/>
              </w:rPr>
              <w:t>£8.</w:t>
            </w:r>
            <w:r>
              <w:rPr>
                <w:b/>
                <w:sz w:val="28"/>
              </w:rPr>
              <w:t>4</w:t>
            </w:r>
            <w:r w:rsidRPr="00B772C7">
              <w:rPr>
                <w:b/>
                <w:sz w:val="28"/>
              </w:rPr>
              <w:t>7</w:t>
            </w:r>
          </w:p>
        </w:tc>
      </w:tr>
      <w:tr w:rsidR="00CB41C9" w:rsidRPr="00043638" w:rsidTr="002B7BE5">
        <w:trPr>
          <w:trHeight w:val="156"/>
        </w:trPr>
        <w:tc>
          <w:tcPr>
            <w:tcW w:w="5341" w:type="dxa"/>
          </w:tcPr>
          <w:p w:rsidR="00CB41C9" w:rsidRPr="00043638" w:rsidRDefault="00CB41C9" w:rsidP="002B7BE5">
            <w:pPr>
              <w:spacing w:after="0" w:line="240" w:lineRule="auto"/>
              <w:rPr>
                <w:rFonts w:ascii="Calibri" w:eastAsia="Times New Roman" w:hAnsi="Calibri" w:cs="Times New Roman"/>
                <w:sz w:val="24"/>
                <w:szCs w:val="24"/>
                <w:lang w:eastAsia="en-GB"/>
              </w:rPr>
            </w:pPr>
            <w:r w:rsidRPr="00043638">
              <w:rPr>
                <w:rFonts w:ascii="Calibri" w:eastAsia="Times New Roman" w:hAnsi="Calibri" w:cs="Times New Roman"/>
                <w:sz w:val="24"/>
                <w:szCs w:val="24"/>
                <w:lang w:eastAsia="en-GB"/>
              </w:rPr>
              <w:t>Actual cost after discount (4</w:t>
            </w:r>
            <w:r w:rsidR="008C300F">
              <w:rPr>
                <w:rFonts w:ascii="Calibri" w:eastAsia="Times New Roman" w:hAnsi="Calibri" w:cs="Times New Roman"/>
                <w:sz w:val="24"/>
                <w:szCs w:val="24"/>
                <w:lang w:eastAsia="en-GB"/>
              </w:rPr>
              <w:t>9</w:t>
            </w:r>
            <w:r w:rsidRPr="00043638">
              <w:rPr>
                <w:rFonts w:ascii="Calibri" w:eastAsia="Times New Roman" w:hAnsi="Calibri" w:cs="Times New Roman"/>
                <w:sz w:val="24"/>
                <w:szCs w:val="24"/>
                <w:lang w:eastAsia="en-GB"/>
              </w:rPr>
              <w:t>%)</w:t>
            </w:r>
          </w:p>
        </w:tc>
        <w:tc>
          <w:tcPr>
            <w:tcW w:w="1725" w:type="dxa"/>
          </w:tcPr>
          <w:p w:rsidR="00CB41C9" w:rsidRPr="00B772C7" w:rsidRDefault="00CB41C9" w:rsidP="002B7BE5">
            <w:pPr>
              <w:pStyle w:val="NoSpacing"/>
              <w:jc w:val="center"/>
              <w:rPr>
                <w:sz w:val="24"/>
              </w:rPr>
            </w:pPr>
            <w:r w:rsidRPr="00B772C7">
              <w:rPr>
                <w:sz w:val="24"/>
              </w:rPr>
              <w:t>£2.</w:t>
            </w:r>
            <w:r w:rsidR="008C300F">
              <w:rPr>
                <w:sz w:val="24"/>
              </w:rPr>
              <w:t>68</w:t>
            </w:r>
          </w:p>
        </w:tc>
      </w:tr>
      <w:tr w:rsidR="00CB41C9" w:rsidRPr="00043638" w:rsidTr="002B7BE5">
        <w:trPr>
          <w:trHeight w:val="140"/>
        </w:trPr>
        <w:tc>
          <w:tcPr>
            <w:tcW w:w="5341" w:type="dxa"/>
          </w:tcPr>
          <w:p w:rsidR="00CB41C9" w:rsidRPr="00043638" w:rsidRDefault="00CB41C9" w:rsidP="002B7BE5">
            <w:pPr>
              <w:spacing w:after="0" w:line="240" w:lineRule="auto"/>
              <w:rPr>
                <w:rFonts w:ascii="Calibri" w:eastAsia="Times New Roman" w:hAnsi="Calibri" w:cs="Times New Roman"/>
                <w:sz w:val="24"/>
                <w:szCs w:val="24"/>
                <w:lang w:eastAsia="en-GB"/>
              </w:rPr>
            </w:pPr>
            <w:r w:rsidRPr="00043638">
              <w:rPr>
                <w:rFonts w:ascii="Calibri" w:eastAsia="Times New Roman" w:hAnsi="Calibri" w:cs="Times New Roman"/>
                <w:sz w:val="24"/>
                <w:szCs w:val="24"/>
                <w:lang w:eastAsia="en-GB"/>
              </w:rPr>
              <w:t>VAT (20%)</w:t>
            </w:r>
          </w:p>
        </w:tc>
        <w:tc>
          <w:tcPr>
            <w:tcW w:w="1725" w:type="dxa"/>
          </w:tcPr>
          <w:p w:rsidR="00CB41C9" w:rsidRPr="00B772C7" w:rsidRDefault="00CB41C9" w:rsidP="002B7BE5">
            <w:pPr>
              <w:pStyle w:val="NoSpacing"/>
              <w:jc w:val="center"/>
              <w:rPr>
                <w:sz w:val="24"/>
              </w:rPr>
            </w:pPr>
            <w:r w:rsidRPr="00B772C7">
              <w:rPr>
                <w:sz w:val="24"/>
              </w:rPr>
              <w:t>£0.54</w:t>
            </w:r>
          </w:p>
        </w:tc>
      </w:tr>
      <w:tr w:rsidR="00CB41C9" w:rsidRPr="00043638" w:rsidTr="002B7BE5">
        <w:trPr>
          <w:trHeight w:val="234"/>
        </w:trPr>
        <w:tc>
          <w:tcPr>
            <w:tcW w:w="5341" w:type="dxa"/>
          </w:tcPr>
          <w:p w:rsidR="00CB41C9" w:rsidRPr="00043638" w:rsidRDefault="00CB41C9" w:rsidP="002B7BE5">
            <w:pPr>
              <w:spacing w:after="0" w:line="240" w:lineRule="auto"/>
              <w:rPr>
                <w:rFonts w:ascii="Calibri" w:eastAsia="Times New Roman" w:hAnsi="Calibri" w:cs="Times New Roman"/>
                <w:sz w:val="24"/>
                <w:szCs w:val="24"/>
                <w:lang w:eastAsia="en-GB"/>
              </w:rPr>
            </w:pPr>
            <w:r w:rsidRPr="00043638">
              <w:rPr>
                <w:rFonts w:ascii="Calibri" w:eastAsia="Times New Roman" w:hAnsi="Calibri" w:cs="Times New Roman"/>
                <w:sz w:val="24"/>
                <w:szCs w:val="24"/>
                <w:lang w:eastAsia="en-GB"/>
              </w:rPr>
              <w:t>Total cost to practice</w:t>
            </w:r>
          </w:p>
        </w:tc>
        <w:tc>
          <w:tcPr>
            <w:tcW w:w="1725" w:type="dxa"/>
          </w:tcPr>
          <w:p w:rsidR="00CB41C9" w:rsidRPr="00B772C7" w:rsidRDefault="008C300F" w:rsidP="002B7BE5">
            <w:pPr>
              <w:pStyle w:val="NoSpacing"/>
              <w:jc w:val="center"/>
              <w:rPr>
                <w:sz w:val="24"/>
              </w:rPr>
            </w:pPr>
            <w:r>
              <w:rPr>
                <w:sz w:val="24"/>
              </w:rPr>
              <w:t>£3.22</w:t>
            </w:r>
          </w:p>
        </w:tc>
      </w:tr>
      <w:tr w:rsidR="00CB41C9" w:rsidRPr="00043638" w:rsidTr="002B7BE5">
        <w:trPr>
          <w:trHeight w:val="140"/>
        </w:trPr>
        <w:tc>
          <w:tcPr>
            <w:tcW w:w="5341" w:type="dxa"/>
            <w:tcBorders>
              <w:bottom w:val="single" w:sz="4" w:space="0" w:color="auto"/>
            </w:tcBorders>
          </w:tcPr>
          <w:p w:rsidR="00CB41C9" w:rsidRPr="00043638" w:rsidRDefault="00CB41C9" w:rsidP="002B7BE5">
            <w:pPr>
              <w:spacing w:after="0" w:line="240" w:lineRule="auto"/>
              <w:rPr>
                <w:rFonts w:ascii="Calibri" w:eastAsia="Times New Roman" w:hAnsi="Calibri" w:cs="Times New Roman"/>
                <w:b/>
                <w:sz w:val="28"/>
                <w:szCs w:val="24"/>
                <w:lang w:eastAsia="en-GB"/>
              </w:rPr>
            </w:pPr>
            <w:r w:rsidRPr="00043638">
              <w:rPr>
                <w:rFonts w:ascii="Calibri" w:eastAsia="Times New Roman" w:hAnsi="Calibri" w:cs="Times New Roman"/>
                <w:b/>
                <w:sz w:val="28"/>
                <w:szCs w:val="24"/>
                <w:lang w:eastAsia="en-GB"/>
              </w:rPr>
              <w:t xml:space="preserve">Total Profit Per Dose (PPD) </w:t>
            </w:r>
          </w:p>
        </w:tc>
        <w:tc>
          <w:tcPr>
            <w:tcW w:w="1725" w:type="dxa"/>
            <w:tcBorders>
              <w:bottom w:val="single" w:sz="4" w:space="0" w:color="auto"/>
            </w:tcBorders>
          </w:tcPr>
          <w:p w:rsidR="00CB41C9" w:rsidRPr="00B772C7" w:rsidRDefault="00CB41C9" w:rsidP="002B7BE5">
            <w:pPr>
              <w:pStyle w:val="NoSpacing"/>
              <w:jc w:val="center"/>
              <w:rPr>
                <w:b/>
                <w:sz w:val="24"/>
              </w:rPr>
            </w:pPr>
            <w:r w:rsidRPr="00B772C7">
              <w:rPr>
                <w:b/>
                <w:sz w:val="28"/>
              </w:rPr>
              <w:t>£5.</w:t>
            </w:r>
            <w:r>
              <w:rPr>
                <w:b/>
                <w:sz w:val="28"/>
              </w:rPr>
              <w:t>2</w:t>
            </w:r>
            <w:r w:rsidR="008C300F">
              <w:rPr>
                <w:b/>
                <w:sz w:val="28"/>
              </w:rPr>
              <w:t>5</w:t>
            </w:r>
          </w:p>
        </w:tc>
      </w:tr>
    </w:tbl>
    <w:p w:rsidR="00CB41C9" w:rsidRDefault="00CB41C9" w:rsidP="00CB41C9">
      <w:pPr>
        <w:autoSpaceDE w:val="0"/>
        <w:autoSpaceDN w:val="0"/>
        <w:adjustRightInd w:val="0"/>
        <w:spacing w:after="0" w:line="240" w:lineRule="auto"/>
        <w:rPr>
          <w:rFonts w:eastAsia="Times New Roman" w:cs="Times New Roman"/>
          <w:sz w:val="20"/>
        </w:rPr>
      </w:pPr>
    </w:p>
    <w:p w:rsidR="00CB41C9" w:rsidRPr="00032990" w:rsidRDefault="00CB41C9" w:rsidP="00CB41C9">
      <w:pPr>
        <w:autoSpaceDE w:val="0"/>
        <w:autoSpaceDN w:val="0"/>
        <w:adjustRightInd w:val="0"/>
        <w:spacing w:after="0" w:line="240" w:lineRule="auto"/>
        <w:rPr>
          <w:rFonts w:ascii="Calibri" w:hAnsi="Calibri" w:cs="Calibri"/>
          <w:color w:val="000000"/>
          <w:sz w:val="24"/>
          <w:szCs w:val="24"/>
        </w:rPr>
      </w:pPr>
      <w:r w:rsidRPr="00032990">
        <w:rPr>
          <w:rFonts w:eastAsia="Times New Roman" w:cs="Times New Roman"/>
          <w:sz w:val="20"/>
        </w:rPr>
        <w:t>* The dispensing fee illustrated is for guidance purposes only and is based on a non-dispensing practice dispensing up to 4</w:t>
      </w:r>
      <w:r>
        <w:rPr>
          <w:rFonts w:eastAsia="Times New Roman" w:cs="Times New Roman"/>
          <w:sz w:val="20"/>
        </w:rPr>
        <w:t>57</w:t>
      </w:r>
      <w:r w:rsidRPr="00032990">
        <w:rPr>
          <w:rFonts w:eastAsia="Times New Roman" w:cs="Times New Roman"/>
          <w:sz w:val="20"/>
        </w:rPr>
        <w:t xml:space="preserve"> items a month under rules applying from 1 </w:t>
      </w:r>
      <w:r>
        <w:rPr>
          <w:rFonts w:eastAsia="Times New Roman" w:cs="Times New Roman"/>
          <w:sz w:val="20"/>
        </w:rPr>
        <w:t>October</w:t>
      </w:r>
      <w:r w:rsidRPr="00032990">
        <w:rPr>
          <w:rFonts w:eastAsia="Times New Roman" w:cs="Times New Roman"/>
          <w:sz w:val="20"/>
        </w:rPr>
        <w:t xml:space="preserve"> 201</w:t>
      </w:r>
      <w:r>
        <w:rPr>
          <w:rFonts w:eastAsia="Times New Roman" w:cs="Times New Roman"/>
          <w:sz w:val="20"/>
        </w:rPr>
        <w:t>7</w:t>
      </w:r>
      <w:r w:rsidRPr="00032990">
        <w:rPr>
          <w:rFonts w:eastAsia="Times New Roman" w:cs="Times New Roman"/>
          <w:sz w:val="20"/>
        </w:rPr>
        <w:t xml:space="preserve"> (see separate table).</w:t>
      </w:r>
    </w:p>
    <w:p w:rsidR="00CB41C9" w:rsidRDefault="00CB41C9" w:rsidP="00CB41C9">
      <w:pPr>
        <w:spacing w:after="0" w:line="240" w:lineRule="auto"/>
        <w:rPr>
          <w:rFonts w:ascii="Arial" w:eastAsia="Times New Roman" w:hAnsi="Arial" w:cs="Arial"/>
          <w:b/>
          <w:bCs/>
          <w:color w:val="000000" w:themeColor="text1"/>
          <w:sz w:val="28"/>
          <w:szCs w:val="28"/>
        </w:rPr>
      </w:pPr>
    </w:p>
    <w:p w:rsidR="00CB41C9" w:rsidRPr="00CB41C9" w:rsidRDefault="00CB41C9" w:rsidP="00CB41C9">
      <w:pPr>
        <w:pStyle w:val="NoSpacing"/>
        <w:rPr>
          <w:sz w:val="24"/>
        </w:rPr>
      </w:pPr>
      <w:r w:rsidRPr="00CB41C9">
        <w:rPr>
          <w:sz w:val="24"/>
        </w:rPr>
        <w:t xml:space="preserve">Mylan’s offer also includes: </w:t>
      </w:r>
    </w:p>
    <w:p w:rsidR="00CB41C9" w:rsidRPr="00CB41C9" w:rsidRDefault="00CB41C9" w:rsidP="00CB41C9">
      <w:pPr>
        <w:pStyle w:val="NoSpacing"/>
        <w:rPr>
          <w:sz w:val="24"/>
        </w:rPr>
      </w:pPr>
    </w:p>
    <w:p w:rsidR="00CB41C9" w:rsidRPr="00CB41C9" w:rsidRDefault="008C300F" w:rsidP="008C300F">
      <w:pPr>
        <w:pStyle w:val="NoSpacing"/>
        <w:numPr>
          <w:ilvl w:val="0"/>
          <w:numId w:val="3"/>
        </w:numPr>
        <w:rPr>
          <w:sz w:val="24"/>
        </w:rPr>
      </w:pPr>
      <w:r>
        <w:rPr>
          <w:sz w:val="24"/>
        </w:rPr>
        <w:t>20% sale or return</w:t>
      </w:r>
    </w:p>
    <w:p w:rsidR="00CB41C9" w:rsidRPr="00CB41C9" w:rsidRDefault="00CB41C9" w:rsidP="00CB41C9">
      <w:pPr>
        <w:pStyle w:val="NoSpacing"/>
        <w:numPr>
          <w:ilvl w:val="0"/>
          <w:numId w:val="3"/>
        </w:numPr>
        <w:rPr>
          <w:sz w:val="24"/>
        </w:rPr>
      </w:pPr>
      <w:r w:rsidRPr="00CB41C9">
        <w:rPr>
          <w:sz w:val="24"/>
        </w:rPr>
        <w:t>Payment by 31 January 2018</w:t>
      </w:r>
    </w:p>
    <w:p w:rsidR="00CB41C9" w:rsidRPr="00CB41C9" w:rsidRDefault="00CB41C9" w:rsidP="00CB41C9">
      <w:pPr>
        <w:pStyle w:val="NoSpacing"/>
        <w:numPr>
          <w:ilvl w:val="0"/>
          <w:numId w:val="3"/>
        </w:numPr>
        <w:rPr>
          <w:sz w:val="24"/>
        </w:rPr>
      </w:pPr>
      <w:r w:rsidRPr="00CB41C9">
        <w:rPr>
          <w:sz w:val="24"/>
        </w:rPr>
        <w:t>Dedicated support materials</w:t>
      </w:r>
    </w:p>
    <w:p w:rsidR="00CB41C9" w:rsidRPr="00CB41C9" w:rsidRDefault="00CB41C9" w:rsidP="00CB41C9">
      <w:pPr>
        <w:pStyle w:val="NoSpacing"/>
        <w:numPr>
          <w:ilvl w:val="0"/>
          <w:numId w:val="3"/>
        </w:numPr>
        <w:rPr>
          <w:sz w:val="24"/>
        </w:rPr>
      </w:pPr>
      <w:r w:rsidRPr="00CB41C9">
        <w:rPr>
          <w:sz w:val="24"/>
        </w:rPr>
        <w:t>Switch formulations until February 2018</w:t>
      </w:r>
    </w:p>
    <w:p w:rsidR="00CB41C9" w:rsidRPr="00CB41C9" w:rsidRDefault="00CB41C9" w:rsidP="00CB41C9">
      <w:pPr>
        <w:pStyle w:val="NoSpacing"/>
        <w:numPr>
          <w:ilvl w:val="0"/>
          <w:numId w:val="3"/>
        </w:numPr>
        <w:rPr>
          <w:sz w:val="24"/>
        </w:rPr>
      </w:pPr>
      <w:r w:rsidRPr="00CB41C9">
        <w:rPr>
          <w:sz w:val="24"/>
        </w:rPr>
        <w:t>No cancellation</w:t>
      </w:r>
    </w:p>
    <w:p w:rsidR="00CB41C9" w:rsidRDefault="00CB41C9" w:rsidP="00CB41C9">
      <w:pPr>
        <w:spacing w:after="0" w:line="240" w:lineRule="auto"/>
        <w:rPr>
          <w:rFonts w:ascii="Arial" w:eastAsia="Times New Roman" w:hAnsi="Arial" w:cs="Arial"/>
          <w:b/>
          <w:bCs/>
          <w:color w:val="000000" w:themeColor="text1"/>
          <w:sz w:val="28"/>
          <w:szCs w:val="28"/>
        </w:rPr>
      </w:pPr>
    </w:p>
    <w:p w:rsidR="00CB41C9" w:rsidRDefault="00CB41C9" w:rsidP="00CB41C9">
      <w:pPr>
        <w:rPr>
          <w:rFonts w:cstheme="minorHAnsi"/>
          <w:b/>
          <w:sz w:val="28"/>
        </w:rPr>
      </w:pPr>
      <w:r w:rsidRPr="00C46C05">
        <w:rPr>
          <w:rFonts w:cstheme="minorHAnsi"/>
          <w:b/>
          <w:sz w:val="28"/>
        </w:rPr>
        <w:t xml:space="preserve">Contact </w:t>
      </w:r>
      <w:r w:rsidR="00E75126">
        <w:rPr>
          <w:rFonts w:cstheme="minorHAnsi"/>
          <w:b/>
          <w:sz w:val="28"/>
        </w:rPr>
        <w:t>Mylan</w:t>
      </w:r>
    </w:p>
    <w:p w:rsidR="00CB41C9" w:rsidRPr="00CB41C9" w:rsidRDefault="00CB41C9" w:rsidP="00CB41C9">
      <w:pPr>
        <w:pStyle w:val="NoSpacing"/>
        <w:rPr>
          <w:rFonts w:eastAsia="Times New Roman" w:cstheme="minorHAnsi"/>
          <w:sz w:val="28"/>
          <w:szCs w:val="24"/>
        </w:rPr>
      </w:pPr>
      <w:r w:rsidRPr="00CB41C9">
        <w:rPr>
          <w:rFonts w:cstheme="minorHAnsi"/>
          <w:sz w:val="24"/>
        </w:rPr>
        <w:t xml:space="preserve">Tel: 0800 358 7468; Email: </w:t>
      </w:r>
      <w:r w:rsidRPr="00CB41C9">
        <w:rPr>
          <w:rStyle w:val="Hyperlink"/>
          <w:rFonts w:cstheme="minorHAnsi"/>
          <w:sz w:val="24"/>
        </w:rPr>
        <w:t>flu@mylan.com</w:t>
      </w:r>
    </w:p>
    <w:p w:rsidR="00CB41C9" w:rsidRDefault="00CB41C9" w:rsidP="006D4D0A">
      <w:pPr>
        <w:pStyle w:val="NoSpacing"/>
        <w:rPr>
          <w:sz w:val="24"/>
          <w:szCs w:val="24"/>
        </w:rPr>
      </w:pPr>
    </w:p>
    <w:p w:rsidR="00CB41C9" w:rsidRDefault="00CB41C9" w:rsidP="006D4D0A">
      <w:pPr>
        <w:pStyle w:val="NoSpacing"/>
        <w:rPr>
          <w:sz w:val="24"/>
          <w:szCs w:val="24"/>
        </w:rPr>
      </w:pPr>
    </w:p>
    <w:p w:rsidR="00CB41C9" w:rsidRDefault="00CB41C9" w:rsidP="006D4D0A">
      <w:pPr>
        <w:pStyle w:val="NoSpacing"/>
        <w:rPr>
          <w:sz w:val="24"/>
          <w:szCs w:val="24"/>
        </w:rPr>
      </w:pPr>
    </w:p>
    <w:p w:rsidR="00CB41C9" w:rsidRDefault="00CB41C9" w:rsidP="006D4D0A">
      <w:pPr>
        <w:pStyle w:val="NoSpacing"/>
        <w:rPr>
          <w:sz w:val="24"/>
          <w:szCs w:val="24"/>
        </w:rPr>
      </w:pPr>
    </w:p>
    <w:p w:rsidR="00CB41C9" w:rsidRDefault="00CB41C9" w:rsidP="006D4D0A">
      <w:pPr>
        <w:pStyle w:val="NoSpacing"/>
        <w:rPr>
          <w:sz w:val="24"/>
          <w:szCs w:val="24"/>
        </w:rPr>
      </w:pPr>
    </w:p>
    <w:p w:rsidR="00CB41C9" w:rsidRDefault="00CB41C9" w:rsidP="006D4D0A">
      <w:pPr>
        <w:pStyle w:val="NoSpacing"/>
        <w:rPr>
          <w:sz w:val="24"/>
          <w:szCs w:val="24"/>
        </w:rPr>
      </w:pPr>
    </w:p>
    <w:p w:rsidR="00CB41C9" w:rsidRDefault="00CB41C9" w:rsidP="006D4D0A">
      <w:pPr>
        <w:pStyle w:val="NoSpacing"/>
        <w:rPr>
          <w:sz w:val="24"/>
          <w:szCs w:val="24"/>
        </w:rPr>
      </w:pPr>
    </w:p>
    <w:p w:rsidR="00C41A17" w:rsidRDefault="00C41A17" w:rsidP="00CB41C9">
      <w:pPr>
        <w:pStyle w:val="NoSpacing"/>
        <w:jc w:val="center"/>
        <w:rPr>
          <w:b/>
          <w:color w:val="7030A0"/>
          <w:sz w:val="40"/>
        </w:rPr>
      </w:pPr>
    </w:p>
    <w:p w:rsidR="00C41A17" w:rsidRDefault="00C41A17" w:rsidP="00CB41C9">
      <w:pPr>
        <w:pStyle w:val="NoSpacing"/>
        <w:jc w:val="center"/>
        <w:rPr>
          <w:b/>
          <w:color w:val="7030A0"/>
          <w:sz w:val="40"/>
        </w:rPr>
      </w:pPr>
    </w:p>
    <w:p w:rsidR="00C41A17" w:rsidRDefault="00C41A17" w:rsidP="00CB41C9">
      <w:pPr>
        <w:pStyle w:val="NoSpacing"/>
        <w:jc w:val="center"/>
        <w:rPr>
          <w:b/>
          <w:color w:val="7030A0"/>
          <w:sz w:val="40"/>
        </w:rPr>
      </w:pPr>
    </w:p>
    <w:p w:rsidR="00C41A17" w:rsidRDefault="00C41A17" w:rsidP="00CB41C9">
      <w:pPr>
        <w:pStyle w:val="NoSpacing"/>
        <w:jc w:val="center"/>
        <w:rPr>
          <w:b/>
          <w:color w:val="7030A0"/>
          <w:sz w:val="40"/>
        </w:rPr>
      </w:pPr>
    </w:p>
    <w:p w:rsidR="00C41A17" w:rsidRDefault="00C41A17" w:rsidP="00CB41C9">
      <w:pPr>
        <w:pStyle w:val="NoSpacing"/>
        <w:jc w:val="center"/>
        <w:rPr>
          <w:b/>
          <w:color w:val="7030A0"/>
          <w:sz w:val="40"/>
        </w:rPr>
      </w:pPr>
    </w:p>
    <w:p w:rsidR="009D0996" w:rsidRDefault="009D0996" w:rsidP="00E75126">
      <w:pPr>
        <w:spacing w:after="0" w:line="240" w:lineRule="auto"/>
        <w:jc w:val="center"/>
        <w:rPr>
          <w:rFonts w:ascii="Arial" w:eastAsia="Times New Roman" w:hAnsi="Arial" w:cs="Arial"/>
          <w:b/>
          <w:bCs/>
          <w:color w:val="7030A0"/>
          <w:sz w:val="40"/>
          <w:szCs w:val="28"/>
        </w:rPr>
      </w:pPr>
    </w:p>
    <w:p w:rsidR="00E75126" w:rsidRDefault="00E75126" w:rsidP="00E75126">
      <w:pPr>
        <w:spacing w:after="0" w:line="240" w:lineRule="auto"/>
        <w:jc w:val="center"/>
        <w:rPr>
          <w:rFonts w:ascii="Arial" w:eastAsia="Times New Roman" w:hAnsi="Arial" w:cs="Arial"/>
          <w:b/>
          <w:bCs/>
          <w:color w:val="7030A0"/>
          <w:sz w:val="40"/>
          <w:szCs w:val="28"/>
        </w:rPr>
      </w:pPr>
      <w:r w:rsidRPr="00020443">
        <w:rPr>
          <w:rFonts w:ascii="Arial" w:eastAsia="Times New Roman" w:hAnsi="Arial" w:cs="Arial"/>
          <w:b/>
          <w:bCs/>
          <w:color w:val="7030A0"/>
          <w:sz w:val="40"/>
          <w:szCs w:val="28"/>
        </w:rPr>
        <w:lastRenderedPageBreak/>
        <w:t>Seqirus</w:t>
      </w:r>
    </w:p>
    <w:p w:rsidR="00E75126" w:rsidRDefault="00E75126" w:rsidP="00E75126">
      <w:pPr>
        <w:spacing w:after="0" w:line="240" w:lineRule="auto"/>
        <w:jc w:val="center"/>
        <w:rPr>
          <w:rFonts w:ascii="Arial" w:eastAsia="Times New Roman" w:hAnsi="Arial" w:cs="Arial"/>
          <w:b/>
          <w:bCs/>
          <w:color w:val="7030A0"/>
          <w:sz w:val="40"/>
          <w:szCs w:val="28"/>
        </w:rPr>
      </w:pPr>
    </w:p>
    <w:p w:rsidR="00E75126" w:rsidRPr="0074136C" w:rsidRDefault="00E75126" w:rsidP="00E75126">
      <w:pPr>
        <w:spacing w:after="0" w:line="240" w:lineRule="auto"/>
        <w:rPr>
          <w:rFonts w:ascii="Arial" w:eastAsia="Times New Roman" w:hAnsi="Arial" w:cs="Arial"/>
          <w:b/>
          <w:bCs/>
          <w:color w:val="7030A0"/>
          <w:sz w:val="28"/>
          <w:szCs w:val="28"/>
        </w:rPr>
      </w:pPr>
      <w:r w:rsidRPr="0074136C">
        <w:rPr>
          <w:rFonts w:ascii="Arial" w:eastAsia="Times New Roman" w:hAnsi="Arial" w:cs="Arial"/>
          <w:b/>
          <w:bCs/>
          <w:color w:val="7030A0"/>
          <w:sz w:val="28"/>
          <w:szCs w:val="28"/>
        </w:rPr>
        <w:t>Agri</w:t>
      </w:r>
      <w:r>
        <w:rPr>
          <w:rFonts w:ascii="Arial" w:eastAsia="Times New Roman" w:hAnsi="Arial" w:cs="Arial"/>
          <w:b/>
          <w:bCs/>
          <w:color w:val="7030A0"/>
          <w:sz w:val="28"/>
          <w:szCs w:val="28"/>
        </w:rPr>
        <w:t>p</w:t>
      </w:r>
      <w:r w:rsidRPr="0074136C">
        <w:rPr>
          <w:rFonts w:ascii="Arial" w:eastAsia="Times New Roman" w:hAnsi="Arial" w:cs="Arial"/>
          <w:b/>
          <w:bCs/>
          <w:color w:val="7030A0"/>
          <w:sz w:val="28"/>
          <w:szCs w:val="28"/>
        </w:rPr>
        <w:t>pal</w:t>
      </w:r>
      <w:r>
        <w:rPr>
          <w:rFonts w:ascii="Arial" w:eastAsia="Times New Roman" w:hAnsi="Arial" w:cs="Arial"/>
          <w:b/>
          <w:bCs/>
          <w:color w:val="7030A0"/>
          <w:sz w:val="28"/>
          <w:szCs w:val="28"/>
        </w:rPr>
        <w:t xml:space="preserve"> (Trivalent)</w:t>
      </w:r>
    </w:p>
    <w:p w:rsidR="00E75126" w:rsidRDefault="00E75126" w:rsidP="00E75126">
      <w:pPr>
        <w:spacing w:after="0" w:line="240" w:lineRule="auto"/>
        <w:rPr>
          <w:rFonts w:ascii="Arial" w:eastAsia="Times New Roman" w:hAnsi="Arial" w:cs="Arial"/>
          <w:b/>
          <w:bCs/>
          <w:sz w:val="20"/>
          <w:szCs w:val="20"/>
          <w:vertAlign w:val="superscript"/>
        </w:rPr>
      </w:pPr>
    </w:p>
    <w:tbl>
      <w:tblPr>
        <w:tblStyle w:val="TableGrid1"/>
        <w:tblW w:w="0" w:type="auto"/>
        <w:tblInd w:w="534" w:type="dxa"/>
        <w:tblLook w:val="04A0" w:firstRow="1" w:lastRow="0" w:firstColumn="1" w:lastColumn="0" w:noHBand="0" w:noVBand="1"/>
      </w:tblPr>
      <w:tblGrid>
        <w:gridCol w:w="5208"/>
        <w:gridCol w:w="1750"/>
        <w:gridCol w:w="1750"/>
      </w:tblGrid>
      <w:tr w:rsidR="00E75126" w:rsidTr="0072008E">
        <w:tc>
          <w:tcPr>
            <w:tcW w:w="5208" w:type="dxa"/>
            <w:tcBorders>
              <w:top w:val="single" w:sz="4" w:space="0" w:color="auto"/>
              <w:left w:val="single" w:sz="4" w:space="0" w:color="auto"/>
              <w:bottom w:val="single" w:sz="4" w:space="0" w:color="auto"/>
              <w:right w:val="single" w:sz="4" w:space="0" w:color="auto"/>
            </w:tcBorders>
            <w:vAlign w:val="center"/>
            <w:hideMark/>
          </w:tcPr>
          <w:p w:rsidR="00E75126" w:rsidRDefault="00E75126" w:rsidP="0072008E">
            <w:pPr>
              <w:rPr>
                <w:rFonts w:ascii="Calibri" w:hAnsi="Calibri"/>
                <w:b/>
                <w:bCs/>
                <w:sz w:val="28"/>
                <w:szCs w:val="28"/>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E75126" w:rsidRPr="00CB41C9" w:rsidRDefault="00E75126" w:rsidP="0072008E">
            <w:pPr>
              <w:jc w:val="center"/>
              <w:rPr>
                <w:rFonts w:ascii="Calibri" w:hAnsi="Calibri"/>
                <w:b/>
                <w:sz w:val="24"/>
                <w:lang w:eastAsia="en-GB"/>
              </w:rPr>
            </w:pPr>
            <w:r w:rsidRPr="00CB41C9">
              <w:rPr>
                <w:rFonts w:ascii="Calibri" w:hAnsi="Calibri"/>
                <w:b/>
                <w:sz w:val="24"/>
                <w:lang w:eastAsia="en-GB"/>
              </w:rPr>
              <w:t>Orders before</w:t>
            </w:r>
          </w:p>
          <w:p w:rsidR="00E75126" w:rsidRPr="00CB41C9" w:rsidRDefault="00E75126" w:rsidP="0072008E">
            <w:pPr>
              <w:jc w:val="center"/>
              <w:rPr>
                <w:rFonts w:ascii="Calibri" w:hAnsi="Calibri"/>
                <w:b/>
                <w:sz w:val="24"/>
                <w:lang w:eastAsia="en-GB"/>
              </w:rPr>
            </w:pPr>
            <w:r w:rsidRPr="00CB41C9">
              <w:rPr>
                <w:rFonts w:ascii="Calibri" w:hAnsi="Calibri"/>
                <w:b/>
                <w:sz w:val="24"/>
                <w:lang w:eastAsia="en-GB"/>
              </w:rPr>
              <w:t>22 December 2017 (61.2%)</w:t>
            </w:r>
          </w:p>
        </w:tc>
        <w:tc>
          <w:tcPr>
            <w:tcW w:w="0" w:type="auto"/>
            <w:tcBorders>
              <w:top w:val="single" w:sz="4" w:space="0" w:color="auto"/>
              <w:left w:val="single" w:sz="4" w:space="0" w:color="auto"/>
              <w:bottom w:val="single" w:sz="4" w:space="0" w:color="auto"/>
              <w:right w:val="single" w:sz="4" w:space="0" w:color="auto"/>
            </w:tcBorders>
            <w:hideMark/>
          </w:tcPr>
          <w:p w:rsidR="00E75126" w:rsidRPr="00CB41C9" w:rsidRDefault="00E75126" w:rsidP="0072008E">
            <w:pPr>
              <w:jc w:val="center"/>
              <w:rPr>
                <w:rFonts w:ascii="Calibri" w:hAnsi="Calibri"/>
                <w:b/>
                <w:sz w:val="24"/>
                <w:lang w:eastAsia="en-GB"/>
              </w:rPr>
            </w:pPr>
            <w:r w:rsidRPr="00CB41C9">
              <w:rPr>
                <w:rFonts w:ascii="Calibri" w:hAnsi="Calibri"/>
                <w:b/>
                <w:sz w:val="24"/>
                <w:lang w:eastAsia="en-GB"/>
              </w:rPr>
              <w:t>Orders after</w:t>
            </w:r>
          </w:p>
          <w:p w:rsidR="00E75126" w:rsidRPr="00CB41C9" w:rsidRDefault="00E75126" w:rsidP="0072008E">
            <w:pPr>
              <w:jc w:val="center"/>
              <w:rPr>
                <w:rFonts w:ascii="Calibri" w:hAnsi="Calibri"/>
                <w:b/>
                <w:sz w:val="24"/>
                <w:lang w:eastAsia="en-GB"/>
              </w:rPr>
            </w:pPr>
            <w:r w:rsidRPr="00CB41C9">
              <w:rPr>
                <w:rFonts w:ascii="Calibri" w:hAnsi="Calibri"/>
                <w:b/>
                <w:sz w:val="24"/>
                <w:lang w:eastAsia="en-GB"/>
              </w:rPr>
              <w:t>22 December 2017 (54.6%)</w:t>
            </w:r>
          </w:p>
        </w:tc>
      </w:tr>
      <w:tr w:rsidR="00E75126" w:rsidRPr="00CB41C9" w:rsidTr="0072008E">
        <w:tc>
          <w:tcPr>
            <w:tcW w:w="5208" w:type="dxa"/>
            <w:tcBorders>
              <w:top w:val="single" w:sz="4" w:space="0" w:color="auto"/>
              <w:left w:val="single" w:sz="4" w:space="0" w:color="auto"/>
              <w:bottom w:val="single" w:sz="4" w:space="0" w:color="auto"/>
              <w:right w:val="single" w:sz="4" w:space="0" w:color="auto"/>
            </w:tcBorders>
            <w:hideMark/>
          </w:tcPr>
          <w:p w:rsidR="00E75126" w:rsidRPr="00CB41C9" w:rsidRDefault="00E75126" w:rsidP="0072008E">
            <w:pPr>
              <w:rPr>
                <w:rFonts w:ascii="Calibri" w:hAnsi="Calibri"/>
                <w:sz w:val="24"/>
                <w:lang w:eastAsia="en-GB"/>
              </w:rPr>
            </w:pPr>
            <w:r w:rsidRPr="00CB41C9">
              <w:rPr>
                <w:rFonts w:ascii="Calibri" w:hAnsi="Calibri"/>
                <w:sz w:val="24"/>
                <w:lang w:eastAsia="en-GB"/>
              </w:rPr>
              <w:t>NHS Price</w:t>
            </w:r>
          </w:p>
        </w:tc>
        <w:tc>
          <w:tcPr>
            <w:tcW w:w="0" w:type="auto"/>
            <w:hideMark/>
          </w:tcPr>
          <w:p w:rsidR="00E75126" w:rsidRPr="00CB41C9" w:rsidRDefault="00E75126" w:rsidP="0072008E">
            <w:pPr>
              <w:pStyle w:val="NoSpacing"/>
              <w:jc w:val="center"/>
              <w:rPr>
                <w:rFonts w:ascii="Calibri" w:hAnsi="Calibri"/>
                <w:sz w:val="24"/>
              </w:rPr>
            </w:pPr>
            <w:r w:rsidRPr="00CB41C9">
              <w:rPr>
                <w:rFonts w:ascii="Calibri" w:hAnsi="Calibri"/>
                <w:sz w:val="24"/>
              </w:rPr>
              <w:t>£6.59</w:t>
            </w:r>
          </w:p>
        </w:tc>
        <w:tc>
          <w:tcPr>
            <w:tcW w:w="0" w:type="auto"/>
            <w:tcBorders>
              <w:top w:val="single" w:sz="4" w:space="0" w:color="auto"/>
              <w:left w:val="single" w:sz="4" w:space="0" w:color="auto"/>
              <w:bottom w:val="single" w:sz="4" w:space="0" w:color="auto"/>
              <w:right w:val="single" w:sz="4" w:space="0" w:color="auto"/>
            </w:tcBorders>
            <w:hideMark/>
          </w:tcPr>
          <w:p w:rsidR="00E75126" w:rsidRPr="00CB41C9" w:rsidRDefault="00E75126" w:rsidP="0072008E">
            <w:pPr>
              <w:pStyle w:val="NoSpacing"/>
              <w:jc w:val="center"/>
              <w:rPr>
                <w:rFonts w:ascii="Calibri" w:hAnsi="Calibri"/>
                <w:sz w:val="24"/>
              </w:rPr>
            </w:pPr>
            <w:r w:rsidRPr="00CB41C9">
              <w:rPr>
                <w:rFonts w:ascii="Calibri" w:hAnsi="Calibri"/>
                <w:sz w:val="24"/>
              </w:rPr>
              <w:t>£6.59</w:t>
            </w:r>
          </w:p>
        </w:tc>
      </w:tr>
      <w:tr w:rsidR="00E75126" w:rsidRPr="00CB41C9" w:rsidTr="0072008E">
        <w:tc>
          <w:tcPr>
            <w:tcW w:w="5208" w:type="dxa"/>
            <w:tcBorders>
              <w:top w:val="single" w:sz="4" w:space="0" w:color="auto"/>
              <w:left w:val="single" w:sz="4" w:space="0" w:color="auto"/>
              <w:bottom w:val="single" w:sz="4" w:space="0" w:color="auto"/>
              <w:right w:val="single" w:sz="4" w:space="0" w:color="auto"/>
            </w:tcBorders>
            <w:hideMark/>
          </w:tcPr>
          <w:p w:rsidR="00E75126" w:rsidRPr="00CB41C9" w:rsidRDefault="00E75126" w:rsidP="0072008E">
            <w:pPr>
              <w:rPr>
                <w:rFonts w:ascii="Calibri" w:hAnsi="Calibri"/>
                <w:sz w:val="24"/>
                <w:lang w:eastAsia="en-GB"/>
              </w:rPr>
            </w:pPr>
            <w:r w:rsidRPr="00CB41C9">
              <w:rPr>
                <w:rFonts w:ascii="Calibri" w:hAnsi="Calibri"/>
                <w:sz w:val="24"/>
                <w:lang w:eastAsia="en-GB"/>
              </w:rPr>
              <w:t>Dispensing fee*</w:t>
            </w:r>
          </w:p>
        </w:tc>
        <w:tc>
          <w:tcPr>
            <w:tcW w:w="0" w:type="auto"/>
            <w:hideMark/>
          </w:tcPr>
          <w:p w:rsidR="00E75126" w:rsidRPr="00CB41C9" w:rsidRDefault="00E75126" w:rsidP="0072008E">
            <w:pPr>
              <w:pStyle w:val="NoSpacing"/>
              <w:jc w:val="center"/>
              <w:rPr>
                <w:rFonts w:ascii="Calibri" w:hAnsi="Calibri"/>
                <w:sz w:val="24"/>
              </w:rPr>
            </w:pPr>
            <w:r w:rsidRPr="00CB41C9">
              <w:rPr>
                <w:rFonts w:ascii="Calibri" w:hAnsi="Calibri"/>
                <w:sz w:val="24"/>
              </w:rPr>
              <w:t>£2.209</w:t>
            </w:r>
          </w:p>
        </w:tc>
        <w:tc>
          <w:tcPr>
            <w:tcW w:w="0" w:type="auto"/>
            <w:tcBorders>
              <w:top w:val="single" w:sz="4" w:space="0" w:color="auto"/>
              <w:left w:val="single" w:sz="4" w:space="0" w:color="auto"/>
              <w:bottom w:val="single" w:sz="4" w:space="0" w:color="auto"/>
              <w:right w:val="single" w:sz="4" w:space="0" w:color="auto"/>
            </w:tcBorders>
            <w:hideMark/>
          </w:tcPr>
          <w:p w:rsidR="00E75126" w:rsidRPr="00CB41C9" w:rsidRDefault="00E75126" w:rsidP="0072008E">
            <w:pPr>
              <w:pStyle w:val="NoSpacing"/>
              <w:jc w:val="center"/>
              <w:rPr>
                <w:rFonts w:ascii="Calibri" w:hAnsi="Calibri"/>
                <w:sz w:val="24"/>
              </w:rPr>
            </w:pPr>
            <w:r w:rsidRPr="00CB41C9">
              <w:rPr>
                <w:rFonts w:ascii="Calibri" w:hAnsi="Calibri"/>
                <w:sz w:val="24"/>
              </w:rPr>
              <w:t>£2.209</w:t>
            </w:r>
          </w:p>
        </w:tc>
      </w:tr>
      <w:tr w:rsidR="00E75126" w:rsidRPr="00CB41C9" w:rsidTr="0072008E">
        <w:tc>
          <w:tcPr>
            <w:tcW w:w="5208" w:type="dxa"/>
            <w:tcBorders>
              <w:top w:val="single" w:sz="4" w:space="0" w:color="auto"/>
              <w:left w:val="single" w:sz="4" w:space="0" w:color="auto"/>
              <w:bottom w:val="single" w:sz="4" w:space="0" w:color="auto"/>
              <w:right w:val="single" w:sz="4" w:space="0" w:color="auto"/>
            </w:tcBorders>
            <w:hideMark/>
          </w:tcPr>
          <w:p w:rsidR="00E75126" w:rsidRPr="00CB41C9" w:rsidRDefault="00E75126" w:rsidP="0072008E">
            <w:pPr>
              <w:rPr>
                <w:rFonts w:ascii="Calibri" w:hAnsi="Calibri"/>
                <w:sz w:val="24"/>
                <w:lang w:eastAsia="en-GB"/>
              </w:rPr>
            </w:pPr>
            <w:r w:rsidRPr="00CB41C9">
              <w:rPr>
                <w:rFonts w:ascii="Calibri" w:hAnsi="Calibri"/>
                <w:sz w:val="24"/>
                <w:lang w:eastAsia="en-GB"/>
              </w:rPr>
              <w:t>VAT (20%)</w:t>
            </w:r>
          </w:p>
        </w:tc>
        <w:tc>
          <w:tcPr>
            <w:tcW w:w="0" w:type="auto"/>
            <w:hideMark/>
          </w:tcPr>
          <w:p w:rsidR="00E75126" w:rsidRPr="00CB41C9" w:rsidRDefault="00E75126" w:rsidP="0072008E">
            <w:pPr>
              <w:pStyle w:val="NoSpacing"/>
              <w:jc w:val="center"/>
              <w:rPr>
                <w:rFonts w:ascii="Calibri" w:hAnsi="Calibri"/>
                <w:sz w:val="24"/>
              </w:rPr>
            </w:pPr>
            <w:r w:rsidRPr="00CB41C9">
              <w:rPr>
                <w:rFonts w:ascii="Calibri" w:hAnsi="Calibri"/>
                <w:sz w:val="24"/>
              </w:rPr>
              <w:t>£1.32</w:t>
            </w:r>
          </w:p>
        </w:tc>
        <w:tc>
          <w:tcPr>
            <w:tcW w:w="0" w:type="auto"/>
            <w:tcBorders>
              <w:top w:val="single" w:sz="4" w:space="0" w:color="auto"/>
              <w:left w:val="single" w:sz="4" w:space="0" w:color="auto"/>
              <w:bottom w:val="single" w:sz="4" w:space="0" w:color="auto"/>
              <w:right w:val="single" w:sz="4" w:space="0" w:color="auto"/>
            </w:tcBorders>
            <w:hideMark/>
          </w:tcPr>
          <w:p w:rsidR="00E75126" w:rsidRPr="00CB41C9" w:rsidRDefault="00E75126" w:rsidP="0072008E">
            <w:pPr>
              <w:pStyle w:val="NoSpacing"/>
              <w:jc w:val="center"/>
              <w:rPr>
                <w:rFonts w:ascii="Calibri" w:hAnsi="Calibri"/>
                <w:sz w:val="24"/>
              </w:rPr>
            </w:pPr>
            <w:r w:rsidRPr="00CB41C9">
              <w:rPr>
                <w:rFonts w:ascii="Calibri" w:hAnsi="Calibri"/>
                <w:sz w:val="24"/>
              </w:rPr>
              <w:t>£1.32</w:t>
            </w:r>
          </w:p>
        </w:tc>
      </w:tr>
      <w:tr w:rsidR="00E75126" w:rsidTr="0072008E">
        <w:tc>
          <w:tcPr>
            <w:tcW w:w="5208" w:type="dxa"/>
            <w:tcBorders>
              <w:top w:val="single" w:sz="4" w:space="0" w:color="auto"/>
              <w:left w:val="single" w:sz="4" w:space="0" w:color="auto"/>
              <w:bottom w:val="single" w:sz="4" w:space="0" w:color="auto"/>
              <w:right w:val="single" w:sz="4" w:space="0" w:color="auto"/>
            </w:tcBorders>
            <w:hideMark/>
          </w:tcPr>
          <w:p w:rsidR="00E75126" w:rsidRDefault="00E75126" w:rsidP="0072008E">
            <w:pPr>
              <w:rPr>
                <w:rFonts w:ascii="Calibri" w:hAnsi="Calibri"/>
                <w:sz w:val="28"/>
                <w:lang w:eastAsia="en-GB"/>
              </w:rPr>
            </w:pPr>
            <w:r>
              <w:rPr>
                <w:rFonts w:ascii="Calibri" w:hAnsi="Calibri"/>
                <w:b/>
                <w:sz w:val="28"/>
                <w:lang w:eastAsia="en-GB"/>
              </w:rPr>
              <w:t>Total NHS Reimbursement</w:t>
            </w:r>
          </w:p>
        </w:tc>
        <w:tc>
          <w:tcPr>
            <w:tcW w:w="0" w:type="auto"/>
            <w:hideMark/>
          </w:tcPr>
          <w:p w:rsidR="00E75126" w:rsidRPr="00581738" w:rsidRDefault="00E75126" w:rsidP="0072008E">
            <w:pPr>
              <w:pStyle w:val="NoSpacing"/>
              <w:jc w:val="center"/>
              <w:rPr>
                <w:rFonts w:ascii="Calibri" w:hAnsi="Calibri"/>
                <w:b/>
                <w:sz w:val="28"/>
              </w:rPr>
            </w:pPr>
            <w:r w:rsidRPr="00581738">
              <w:rPr>
                <w:rFonts w:ascii="Calibri" w:hAnsi="Calibri"/>
                <w:b/>
                <w:sz w:val="28"/>
              </w:rPr>
              <w:t>£10.</w:t>
            </w:r>
            <w:r>
              <w:rPr>
                <w:rFonts w:ascii="Calibri" w:hAnsi="Calibri"/>
                <w:b/>
                <w:sz w:val="28"/>
              </w:rPr>
              <w:t>12</w:t>
            </w:r>
          </w:p>
        </w:tc>
        <w:tc>
          <w:tcPr>
            <w:tcW w:w="0" w:type="auto"/>
            <w:tcBorders>
              <w:top w:val="single" w:sz="4" w:space="0" w:color="auto"/>
              <w:left w:val="single" w:sz="4" w:space="0" w:color="auto"/>
              <w:bottom w:val="single" w:sz="4" w:space="0" w:color="auto"/>
              <w:right w:val="single" w:sz="4" w:space="0" w:color="auto"/>
            </w:tcBorders>
            <w:hideMark/>
          </w:tcPr>
          <w:p w:rsidR="00E75126" w:rsidRPr="00581738" w:rsidRDefault="00E75126" w:rsidP="0072008E">
            <w:pPr>
              <w:pStyle w:val="NoSpacing"/>
              <w:jc w:val="center"/>
              <w:rPr>
                <w:rFonts w:ascii="Calibri" w:hAnsi="Calibri"/>
                <w:b/>
                <w:sz w:val="28"/>
              </w:rPr>
            </w:pPr>
            <w:r w:rsidRPr="00581738">
              <w:rPr>
                <w:rFonts w:ascii="Calibri" w:hAnsi="Calibri"/>
                <w:b/>
                <w:sz w:val="28"/>
              </w:rPr>
              <w:t>£10.</w:t>
            </w:r>
            <w:r>
              <w:rPr>
                <w:rFonts w:ascii="Calibri" w:hAnsi="Calibri"/>
                <w:b/>
                <w:sz w:val="28"/>
              </w:rPr>
              <w:t>12</w:t>
            </w:r>
          </w:p>
        </w:tc>
      </w:tr>
      <w:tr w:rsidR="00E75126" w:rsidRPr="00CB41C9" w:rsidTr="0072008E">
        <w:tc>
          <w:tcPr>
            <w:tcW w:w="5208" w:type="dxa"/>
            <w:tcBorders>
              <w:top w:val="single" w:sz="4" w:space="0" w:color="auto"/>
              <w:left w:val="single" w:sz="4" w:space="0" w:color="auto"/>
              <w:bottom w:val="single" w:sz="4" w:space="0" w:color="auto"/>
              <w:right w:val="single" w:sz="4" w:space="0" w:color="auto"/>
            </w:tcBorders>
            <w:hideMark/>
          </w:tcPr>
          <w:p w:rsidR="00E75126" w:rsidRPr="00CB41C9" w:rsidRDefault="00E75126" w:rsidP="0072008E">
            <w:pPr>
              <w:rPr>
                <w:rFonts w:ascii="Calibri" w:hAnsi="Calibri"/>
                <w:sz w:val="24"/>
                <w:szCs w:val="24"/>
                <w:lang w:eastAsia="en-GB"/>
              </w:rPr>
            </w:pPr>
            <w:r w:rsidRPr="00CB41C9">
              <w:rPr>
                <w:rFonts w:ascii="Calibri" w:hAnsi="Calibri"/>
                <w:sz w:val="24"/>
                <w:szCs w:val="24"/>
                <w:lang w:eastAsia="en-GB"/>
              </w:rPr>
              <w:t xml:space="preserve">Actual cost after discount </w:t>
            </w:r>
          </w:p>
        </w:tc>
        <w:tc>
          <w:tcPr>
            <w:tcW w:w="0" w:type="auto"/>
          </w:tcPr>
          <w:p w:rsidR="00E75126" w:rsidRPr="00CB41C9" w:rsidRDefault="00E75126" w:rsidP="0072008E">
            <w:pPr>
              <w:jc w:val="center"/>
              <w:rPr>
                <w:sz w:val="24"/>
                <w:szCs w:val="24"/>
              </w:rPr>
            </w:pPr>
            <w:r w:rsidRPr="00CB41C9">
              <w:rPr>
                <w:sz w:val="24"/>
                <w:szCs w:val="24"/>
              </w:rPr>
              <w:t>£2.56</w:t>
            </w:r>
          </w:p>
        </w:tc>
        <w:tc>
          <w:tcPr>
            <w:tcW w:w="0" w:type="auto"/>
            <w:tcBorders>
              <w:top w:val="single" w:sz="4" w:space="0" w:color="auto"/>
              <w:left w:val="single" w:sz="4" w:space="0" w:color="auto"/>
              <w:bottom w:val="single" w:sz="4" w:space="0" w:color="auto"/>
              <w:right w:val="single" w:sz="4" w:space="0" w:color="auto"/>
            </w:tcBorders>
          </w:tcPr>
          <w:p w:rsidR="00E75126" w:rsidRPr="00CB41C9" w:rsidRDefault="00E75126" w:rsidP="0072008E">
            <w:pPr>
              <w:jc w:val="center"/>
              <w:rPr>
                <w:sz w:val="24"/>
                <w:szCs w:val="24"/>
              </w:rPr>
            </w:pPr>
            <w:r w:rsidRPr="00CB41C9">
              <w:rPr>
                <w:sz w:val="24"/>
                <w:szCs w:val="24"/>
              </w:rPr>
              <w:t>£2.99</w:t>
            </w:r>
          </w:p>
        </w:tc>
      </w:tr>
      <w:tr w:rsidR="00E75126" w:rsidRPr="00CB41C9" w:rsidTr="0072008E">
        <w:tc>
          <w:tcPr>
            <w:tcW w:w="5208" w:type="dxa"/>
            <w:tcBorders>
              <w:top w:val="single" w:sz="4" w:space="0" w:color="auto"/>
              <w:left w:val="single" w:sz="4" w:space="0" w:color="auto"/>
              <w:bottom w:val="single" w:sz="4" w:space="0" w:color="auto"/>
              <w:right w:val="single" w:sz="4" w:space="0" w:color="auto"/>
            </w:tcBorders>
            <w:hideMark/>
          </w:tcPr>
          <w:p w:rsidR="00E75126" w:rsidRPr="00CB41C9" w:rsidRDefault="00E75126" w:rsidP="0072008E">
            <w:pPr>
              <w:rPr>
                <w:rFonts w:ascii="Calibri" w:hAnsi="Calibri"/>
                <w:sz w:val="24"/>
                <w:szCs w:val="24"/>
                <w:lang w:eastAsia="en-GB"/>
              </w:rPr>
            </w:pPr>
            <w:r w:rsidRPr="00CB41C9">
              <w:rPr>
                <w:rFonts w:ascii="Calibri" w:hAnsi="Calibri"/>
                <w:sz w:val="24"/>
                <w:szCs w:val="24"/>
                <w:lang w:eastAsia="en-GB"/>
              </w:rPr>
              <w:t>VAT (20%)</w:t>
            </w:r>
          </w:p>
        </w:tc>
        <w:tc>
          <w:tcPr>
            <w:tcW w:w="0" w:type="auto"/>
          </w:tcPr>
          <w:p w:rsidR="00E75126" w:rsidRPr="00CB41C9" w:rsidRDefault="00E75126" w:rsidP="0072008E">
            <w:pPr>
              <w:jc w:val="center"/>
              <w:rPr>
                <w:sz w:val="24"/>
                <w:szCs w:val="24"/>
              </w:rPr>
            </w:pPr>
            <w:r w:rsidRPr="00CB41C9">
              <w:rPr>
                <w:sz w:val="24"/>
                <w:szCs w:val="24"/>
              </w:rPr>
              <w:t>£0.51</w:t>
            </w:r>
          </w:p>
        </w:tc>
        <w:tc>
          <w:tcPr>
            <w:tcW w:w="0" w:type="auto"/>
            <w:tcBorders>
              <w:top w:val="single" w:sz="4" w:space="0" w:color="auto"/>
              <w:left w:val="single" w:sz="4" w:space="0" w:color="auto"/>
              <w:bottom w:val="single" w:sz="4" w:space="0" w:color="auto"/>
              <w:right w:val="single" w:sz="4" w:space="0" w:color="auto"/>
            </w:tcBorders>
          </w:tcPr>
          <w:p w:rsidR="00E75126" w:rsidRPr="00CB41C9" w:rsidRDefault="00E75126" w:rsidP="0072008E">
            <w:pPr>
              <w:jc w:val="center"/>
              <w:rPr>
                <w:sz w:val="24"/>
                <w:szCs w:val="24"/>
              </w:rPr>
            </w:pPr>
            <w:r w:rsidRPr="00CB41C9">
              <w:rPr>
                <w:sz w:val="24"/>
                <w:szCs w:val="24"/>
              </w:rPr>
              <w:t>£0.60</w:t>
            </w:r>
          </w:p>
        </w:tc>
      </w:tr>
      <w:tr w:rsidR="00E75126" w:rsidRPr="00CB41C9" w:rsidTr="0072008E">
        <w:tc>
          <w:tcPr>
            <w:tcW w:w="5208" w:type="dxa"/>
            <w:tcBorders>
              <w:top w:val="single" w:sz="4" w:space="0" w:color="auto"/>
              <w:left w:val="single" w:sz="4" w:space="0" w:color="auto"/>
              <w:bottom w:val="single" w:sz="4" w:space="0" w:color="auto"/>
              <w:right w:val="single" w:sz="4" w:space="0" w:color="auto"/>
            </w:tcBorders>
            <w:hideMark/>
          </w:tcPr>
          <w:p w:rsidR="00E75126" w:rsidRPr="00CB41C9" w:rsidRDefault="00E75126" w:rsidP="0072008E">
            <w:pPr>
              <w:rPr>
                <w:rFonts w:ascii="Calibri" w:hAnsi="Calibri"/>
                <w:sz w:val="24"/>
                <w:szCs w:val="24"/>
                <w:lang w:eastAsia="en-GB"/>
              </w:rPr>
            </w:pPr>
            <w:r w:rsidRPr="00CB41C9">
              <w:rPr>
                <w:rFonts w:ascii="Calibri" w:hAnsi="Calibri"/>
                <w:sz w:val="24"/>
                <w:szCs w:val="24"/>
                <w:lang w:eastAsia="en-GB"/>
              </w:rPr>
              <w:t>Total cost to practice</w:t>
            </w:r>
          </w:p>
        </w:tc>
        <w:tc>
          <w:tcPr>
            <w:tcW w:w="0" w:type="auto"/>
          </w:tcPr>
          <w:p w:rsidR="00E75126" w:rsidRPr="00CB41C9" w:rsidRDefault="00E75126" w:rsidP="0072008E">
            <w:pPr>
              <w:jc w:val="center"/>
              <w:rPr>
                <w:sz w:val="24"/>
                <w:szCs w:val="24"/>
              </w:rPr>
            </w:pPr>
            <w:r w:rsidRPr="00CB41C9">
              <w:rPr>
                <w:sz w:val="24"/>
                <w:szCs w:val="24"/>
              </w:rPr>
              <w:t>£3.07</w:t>
            </w:r>
          </w:p>
        </w:tc>
        <w:tc>
          <w:tcPr>
            <w:tcW w:w="0" w:type="auto"/>
            <w:tcBorders>
              <w:top w:val="single" w:sz="4" w:space="0" w:color="auto"/>
              <w:left w:val="single" w:sz="4" w:space="0" w:color="auto"/>
              <w:bottom w:val="single" w:sz="4" w:space="0" w:color="auto"/>
              <w:right w:val="single" w:sz="4" w:space="0" w:color="auto"/>
            </w:tcBorders>
          </w:tcPr>
          <w:p w:rsidR="00E75126" w:rsidRPr="00CB41C9" w:rsidRDefault="00E75126" w:rsidP="0072008E">
            <w:pPr>
              <w:jc w:val="center"/>
              <w:rPr>
                <w:sz w:val="24"/>
                <w:szCs w:val="24"/>
              </w:rPr>
            </w:pPr>
            <w:r w:rsidRPr="00CB41C9">
              <w:rPr>
                <w:sz w:val="24"/>
                <w:szCs w:val="24"/>
              </w:rPr>
              <w:t>£3.59</w:t>
            </w:r>
          </w:p>
        </w:tc>
      </w:tr>
      <w:tr w:rsidR="00E75126" w:rsidTr="0072008E">
        <w:tc>
          <w:tcPr>
            <w:tcW w:w="5208" w:type="dxa"/>
            <w:tcBorders>
              <w:top w:val="single" w:sz="4" w:space="0" w:color="auto"/>
              <w:left w:val="single" w:sz="4" w:space="0" w:color="auto"/>
              <w:bottom w:val="single" w:sz="4" w:space="0" w:color="auto"/>
              <w:right w:val="single" w:sz="4" w:space="0" w:color="auto"/>
            </w:tcBorders>
            <w:hideMark/>
          </w:tcPr>
          <w:p w:rsidR="00E75126" w:rsidRDefault="00E75126" w:rsidP="0072008E">
            <w:pPr>
              <w:rPr>
                <w:rFonts w:ascii="Calibri" w:hAnsi="Calibri"/>
                <w:sz w:val="28"/>
                <w:lang w:eastAsia="en-GB"/>
              </w:rPr>
            </w:pPr>
            <w:r>
              <w:rPr>
                <w:rFonts w:ascii="Calibri" w:hAnsi="Calibri"/>
                <w:b/>
                <w:sz w:val="28"/>
                <w:lang w:eastAsia="en-GB"/>
              </w:rPr>
              <w:t>Total Profit Per Dose (PPD)</w:t>
            </w:r>
          </w:p>
        </w:tc>
        <w:tc>
          <w:tcPr>
            <w:tcW w:w="0" w:type="auto"/>
            <w:hideMark/>
          </w:tcPr>
          <w:p w:rsidR="00E75126" w:rsidRPr="0074136C" w:rsidRDefault="00E75126" w:rsidP="0072008E">
            <w:pPr>
              <w:jc w:val="center"/>
              <w:rPr>
                <w:b/>
              </w:rPr>
            </w:pPr>
            <w:r w:rsidRPr="0074136C">
              <w:rPr>
                <w:b/>
                <w:sz w:val="28"/>
              </w:rPr>
              <w:t>£7.05</w:t>
            </w:r>
          </w:p>
        </w:tc>
        <w:tc>
          <w:tcPr>
            <w:tcW w:w="0" w:type="auto"/>
            <w:tcBorders>
              <w:top w:val="single" w:sz="4" w:space="0" w:color="auto"/>
              <w:left w:val="single" w:sz="4" w:space="0" w:color="auto"/>
              <w:bottom w:val="single" w:sz="4" w:space="0" w:color="auto"/>
              <w:right w:val="single" w:sz="4" w:space="0" w:color="auto"/>
            </w:tcBorders>
            <w:hideMark/>
          </w:tcPr>
          <w:p w:rsidR="00E75126" w:rsidRPr="0074136C" w:rsidRDefault="00E75126" w:rsidP="0072008E">
            <w:pPr>
              <w:jc w:val="center"/>
              <w:rPr>
                <w:b/>
              </w:rPr>
            </w:pPr>
            <w:r w:rsidRPr="0074136C">
              <w:rPr>
                <w:b/>
                <w:sz w:val="28"/>
              </w:rPr>
              <w:t>£6.53</w:t>
            </w:r>
          </w:p>
        </w:tc>
      </w:tr>
    </w:tbl>
    <w:p w:rsidR="00E75126" w:rsidRDefault="00E75126" w:rsidP="00E75126">
      <w:pPr>
        <w:ind w:left="720"/>
        <w:contextualSpacing/>
        <w:rPr>
          <w:rFonts w:cstheme="minorHAnsi"/>
        </w:rPr>
      </w:pPr>
    </w:p>
    <w:p w:rsidR="00E75126" w:rsidRPr="00032990" w:rsidRDefault="00E75126" w:rsidP="00E75126">
      <w:pPr>
        <w:autoSpaceDE w:val="0"/>
        <w:autoSpaceDN w:val="0"/>
        <w:adjustRightInd w:val="0"/>
        <w:spacing w:after="0" w:line="240" w:lineRule="auto"/>
        <w:rPr>
          <w:rFonts w:ascii="Calibri" w:hAnsi="Calibri" w:cs="Calibri"/>
          <w:color w:val="000000"/>
          <w:sz w:val="24"/>
          <w:szCs w:val="24"/>
        </w:rPr>
      </w:pPr>
      <w:r w:rsidRPr="00032990">
        <w:rPr>
          <w:rFonts w:eastAsia="Times New Roman" w:cs="Times New Roman"/>
          <w:sz w:val="20"/>
        </w:rPr>
        <w:t>* The dispensing fee illustrated is for guidance purposes only and is based on a non-dispensing practice dispensing up to 4</w:t>
      </w:r>
      <w:r>
        <w:rPr>
          <w:rFonts w:eastAsia="Times New Roman" w:cs="Times New Roman"/>
          <w:sz w:val="20"/>
        </w:rPr>
        <w:t>57</w:t>
      </w:r>
      <w:r w:rsidRPr="00032990">
        <w:rPr>
          <w:rFonts w:eastAsia="Times New Roman" w:cs="Times New Roman"/>
          <w:sz w:val="20"/>
        </w:rPr>
        <w:t xml:space="preserve"> items a month under rules applying from 1 </w:t>
      </w:r>
      <w:r>
        <w:rPr>
          <w:rFonts w:eastAsia="Times New Roman" w:cs="Times New Roman"/>
          <w:sz w:val="20"/>
        </w:rPr>
        <w:t>October</w:t>
      </w:r>
      <w:r w:rsidRPr="00032990">
        <w:rPr>
          <w:rFonts w:eastAsia="Times New Roman" w:cs="Times New Roman"/>
          <w:sz w:val="20"/>
        </w:rPr>
        <w:t xml:space="preserve"> 201</w:t>
      </w:r>
      <w:r>
        <w:rPr>
          <w:rFonts w:eastAsia="Times New Roman" w:cs="Times New Roman"/>
          <w:sz w:val="20"/>
        </w:rPr>
        <w:t>7</w:t>
      </w:r>
      <w:r w:rsidRPr="00032990">
        <w:rPr>
          <w:rFonts w:eastAsia="Times New Roman" w:cs="Times New Roman"/>
          <w:sz w:val="20"/>
        </w:rPr>
        <w:t xml:space="preserve"> (see separate table).</w:t>
      </w:r>
    </w:p>
    <w:p w:rsidR="00E75126" w:rsidRDefault="00E75126" w:rsidP="00E75126">
      <w:pPr>
        <w:contextualSpacing/>
        <w:rPr>
          <w:rFonts w:cstheme="minorHAnsi"/>
        </w:rPr>
      </w:pPr>
    </w:p>
    <w:p w:rsidR="00E75126" w:rsidRDefault="00E75126" w:rsidP="00E75126">
      <w:pPr>
        <w:contextualSpacing/>
        <w:rPr>
          <w:rFonts w:cstheme="minorHAnsi"/>
          <w:b/>
          <w:color w:val="7030A0"/>
          <w:sz w:val="28"/>
        </w:rPr>
      </w:pPr>
      <w:r w:rsidRPr="00C62293">
        <w:rPr>
          <w:rFonts w:cstheme="minorHAnsi"/>
          <w:b/>
          <w:color w:val="7030A0"/>
          <w:sz w:val="28"/>
        </w:rPr>
        <w:t>FLUAD (Adjuvanted Trivalent)</w:t>
      </w:r>
    </w:p>
    <w:p w:rsidR="00E75126" w:rsidRPr="00CB41C9" w:rsidRDefault="00E75126" w:rsidP="00E75126">
      <w:pPr>
        <w:contextualSpacing/>
        <w:rPr>
          <w:rFonts w:cstheme="minorHAnsi"/>
          <w:sz w:val="24"/>
        </w:rPr>
      </w:pPr>
      <w:r w:rsidRPr="00CB41C9">
        <w:rPr>
          <w:rFonts w:cstheme="minorHAnsi"/>
          <w:sz w:val="24"/>
        </w:rPr>
        <w:t>This vaccine is only licensed for use in patients over 65 and is the only adjuvanted inactivated surface antigen trivalent seasonal flu to be made available in the UK.</w:t>
      </w:r>
    </w:p>
    <w:p w:rsidR="00E75126" w:rsidRDefault="00E75126" w:rsidP="00E75126">
      <w:pPr>
        <w:contextualSpacing/>
        <w:rPr>
          <w:rFonts w:cstheme="minorHAnsi"/>
        </w:rPr>
      </w:pPr>
    </w:p>
    <w:tbl>
      <w:tblPr>
        <w:tblStyle w:val="TableGrid1"/>
        <w:tblW w:w="0" w:type="auto"/>
        <w:tblInd w:w="534" w:type="dxa"/>
        <w:tblLook w:val="04A0" w:firstRow="1" w:lastRow="0" w:firstColumn="1" w:lastColumn="0" w:noHBand="0" w:noVBand="1"/>
      </w:tblPr>
      <w:tblGrid>
        <w:gridCol w:w="5208"/>
        <w:gridCol w:w="1750"/>
        <w:gridCol w:w="1750"/>
      </w:tblGrid>
      <w:tr w:rsidR="00E75126" w:rsidTr="0072008E">
        <w:tc>
          <w:tcPr>
            <w:tcW w:w="5208" w:type="dxa"/>
            <w:tcBorders>
              <w:top w:val="single" w:sz="4" w:space="0" w:color="auto"/>
              <w:left w:val="single" w:sz="4" w:space="0" w:color="auto"/>
              <w:bottom w:val="single" w:sz="4" w:space="0" w:color="auto"/>
              <w:right w:val="single" w:sz="4" w:space="0" w:color="auto"/>
            </w:tcBorders>
            <w:vAlign w:val="center"/>
            <w:hideMark/>
          </w:tcPr>
          <w:p w:rsidR="00E75126" w:rsidRDefault="00E75126" w:rsidP="0072008E">
            <w:pPr>
              <w:rPr>
                <w:rFonts w:ascii="Calibri" w:hAnsi="Calibri"/>
                <w:b/>
                <w:bCs/>
                <w:sz w:val="28"/>
                <w:szCs w:val="28"/>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E75126" w:rsidRPr="00CB41C9" w:rsidRDefault="00E75126" w:rsidP="0072008E">
            <w:pPr>
              <w:jc w:val="center"/>
              <w:rPr>
                <w:rFonts w:ascii="Calibri" w:hAnsi="Calibri"/>
                <w:b/>
                <w:sz w:val="24"/>
                <w:lang w:eastAsia="en-GB"/>
              </w:rPr>
            </w:pPr>
            <w:r w:rsidRPr="00CB41C9">
              <w:rPr>
                <w:rFonts w:ascii="Calibri" w:hAnsi="Calibri"/>
                <w:b/>
                <w:sz w:val="24"/>
                <w:lang w:eastAsia="en-GB"/>
              </w:rPr>
              <w:t>Orders before</w:t>
            </w:r>
          </w:p>
          <w:p w:rsidR="00E75126" w:rsidRPr="00CB41C9" w:rsidRDefault="00E75126" w:rsidP="0072008E">
            <w:pPr>
              <w:jc w:val="center"/>
              <w:rPr>
                <w:rFonts w:ascii="Calibri" w:hAnsi="Calibri"/>
                <w:b/>
                <w:sz w:val="24"/>
                <w:lang w:eastAsia="en-GB"/>
              </w:rPr>
            </w:pPr>
            <w:r w:rsidRPr="00CB41C9">
              <w:rPr>
                <w:rFonts w:ascii="Calibri" w:hAnsi="Calibri"/>
                <w:b/>
                <w:sz w:val="24"/>
                <w:lang w:eastAsia="en-GB"/>
              </w:rPr>
              <w:t>22 December 2017 (40.</w:t>
            </w:r>
            <w:r w:rsidR="0072008E">
              <w:rPr>
                <w:rFonts w:ascii="Calibri" w:hAnsi="Calibri"/>
                <w:b/>
                <w:sz w:val="24"/>
                <w:lang w:eastAsia="en-GB"/>
              </w:rPr>
              <w:t>3</w:t>
            </w:r>
            <w:r w:rsidRPr="00CB41C9">
              <w:rPr>
                <w:rFonts w:ascii="Calibri" w:hAnsi="Calibri"/>
                <w:b/>
                <w:sz w:val="24"/>
                <w:lang w:eastAsia="en-GB"/>
              </w:rPr>
              <w:t>%)</w:t>
            </w:r>
          </w:p>
        </w:tc>
        <w:tc>
          <w:tcPr>
            <w:tcW w:w="0" w:type="auto"/>
            <w:tcBorders>
              <w:top w:val="single" w:sz="4" w:space="0" w:color="auto"/>
              <w:left w:val="single" w:sz="4" w:space="0" w:color="auto"/>
              <w:bottom w:val="single" w:sz="4" w:space="0" w:color="auto"/>
              <w:right w:val="single" w:sz="4" w:space="0" w:color="auto"/>
            </w:tcBorders>
            <w:hideMark/>
          </w:tcPr>
          <w:p w:rsidR="00E75126" w:rsidRPr="00CB41C9" w:rsidRDefault="00E75126" w:rsidP="0072008E">
            <w:pPr>
              <w:jc w:val="center"/>
              <w:rPr>
                <w:rFonts w:ascii="Calibri" w:hAnsi="Calibri"/>
                <w:b/>
                <w:sz w:val="24"/>
                <w:lang w:eastAsia="en-GB"/>
              </w:rPr>
            </w:pPr>
            <w:r w:rsidRPr="00CB41C9">
              <w:rPr>
                <w:rFonts w:ascii="Calibri" w:hAnsi="Calibri"/>
                <w:b/>
                <w:sz w:val="24"/>
                <w:lang w:eastAsia="en-GB"/>
              </w:rPr>
              <w:t>Orders after</w:t>
            </w:r>
          </w:p>
          <w:p w:rsidR="00E75126" w:rsidRPr="00CB41C9" w:rsidRDefault="00E75126" w:rsidP="0072008E">
            <w:pPr>
              <w:jc w:val="center"/>
              <w:rPr>
                <w:rFonts w:ascii="Calibri" w:hAnsi="Calibri"/>
                <w:b/>
                <w:sz w:val="24"/>
                <w:lang w:eastAsia="en-GB"/>
              </w:rPr>
            </w:pPr>
            <w:r w:rsidRPr="00CB41C9">
              <w:rPr>
                <w:rFonts w:ascii="Calibri" w:hAnsi="Calibri"/>
                <w:b/>
                <w:sz w:val="24"/>
                <w:lang w:eastAsia="en-GB"/>
              </w:rPr>
              <w:t>22 December 2017 (38.8%)</w:t>
            </w:r>
          </w:p>
        </w:tc>
      </w:tr>
      <w:tr w:rsidR="0072008E" w:rsidRPr="00CB41C9" w:rsidTr="0072008E">
        <w:tc>
          <w:tcPr>
            <w:tcW w:w="5208" w:type="dxa"/>
            <w:tcBorders>
              <w:top w:val="single" w:sz="4" w:space="0" w:color="auto"/>
              <w:left w:val="single" w:sz="4" w:space="0" w:color="auto"/>
              <w:bottom w:val="single" w:sz="4" w:space="0" w:color="auto"/>
              <w:right w:val="single" w:sz="4" w:space="0" w:color="auto"/>
            </w:tcBorders>
            <w:hideMark/>
          </w:tcPr>
          <w:p w:rsidR="0072008E" w:rsidRPr="00CB41C9" w:rsidRDefault="0072008E" w:rsidP="0072008E">
            <w:pPr>
              <w:rPr>
                <w:rFonts w:ascii="Calibri" w:hAnsi="Calibri"/>
                <w:sz w:val="24"/>
                <w:lang w:eastAsia="en-GB"/>
              </w:rPr>
            </w:pPr>
            <w:r w:rsidRPr="00CB41C9">
              <w:rPr>
                <w:rFonts w:ascii="Calibri" w:hAnsi="Calibri"/>
                <w:sz w:val="24"/>
                <w:lang w:eastAsia="en-GB"/>
              </w:rPr>
              <w:t>NHS Price</w:t>
            </w:r>
          </w:p>
        </w:tc>
        <w:tc>
          <w:tcPr>
            <w:tcW w:w="0" w:type="auto"/>
            <w:hideMark/>
          </w:tcPr>
          <w:p w:rsidR="0072008E" w:rsidRPr="000A0DD3" w:rsidRDefault="0072008E" w:rsidP="0072008E">
            <w:pPr>
              <w:pStyle w:val="NoSpacing"/>
              <w:jc w:val="center"/>
              <w:rPr>
                <w:rFonts w:ascii="Calibri" w:hAnsi="Calibri"/>
                <w:sz w:val="24"/>
              </w:rPr>
            </w:pPr>
            <w:r w:rsidRPr="000A0DD3">
              <w:rPr>
                <w:rFonts w:ascii="Calibri" w:hAnsi="Calibri"/>
                <w:sz w:val="24"/>
              </w:rPr>
              <w:t>£9.79</w:t>
            </w:r>
          </w:p>
        </w:tc>
        <w:tc>
          <w:tcPr>
            <w:tcW w:w="0" w:type="auto"/>
            <w:tcBorders>
              <w:top w:val="single" w:sz="4" w:space="0" w:color="auto"/>
              <w:left w:val="single" w:sz="4" w:space="0" w:color="auto"/>
              <w:bottom w:val="single" w:sz="4" w:space="0" w:color="auto"/>
              <w:right w:val="single" w:sz="4" w:space="0" w:color="auto"/>
            </w:tcBorders>
            <w:hideMark/>
          </w:tcPr>
          <w:p w:rsidR="0072008E" w:rsidRPr="00CB41C9" w:rsidRDefault="0072008E" w:rsidP="0072008E">
            <w:pPr>
              <w:pStyle w:val="NoSpacing"/>
              <w:jc w:val="center"/>
              <w:rPr>
                <w:rFonts w:ascii="Calibri" w:hAnsi="Calibri"/>
                <w:sz w:val="24"/>
              </w:rPr>
            </w:pPr>
            <w:r w:rsidRPr="00CB41C9">
              <w:rPr>
                <w:rFonts w:ascii="Calibri" w:hAnsi="Calibri"/>
                <w:sz w:val="24"/>
              </w:rPr>
              <w:t>£9.79</w:t>
            </w:r>
          </w:p>
        </w:tc>
      </w:tr>
      <w:tr w:rsidR="0072008E" w:rsidRPr="00CB41C9" w:rsidTr="0072008E">
        <w:tc>
          <w:tcPr>
            <w:tcW w:w="5208" w:type="dxa"/>
            <w:tcBorders>
              <w:top w:val="single" w:sz="4" w:space="0" w:color="auto"/>
              <w:left w:val="single" w:sz="4" w:space="0" w:color="auto"/>
              <w:bottom w:val="single" w:sz="4" w:space="0" w:color="auto"/>
              <w:right w:val="single" w:sz="4" w:space="0" w:color="auto"/>
            </w:tcBorders>
            <w:hideMark/>
          </w:tcPr>
          <w:p w:rsidR="0072008E" w:rsidRPr="00CB41C9" w:rsidRDefault="0072008E" w:rsidP="0072008E">
            <w:pPr>
              <w:rPr>
                <w:rFonts w:ascii="Calibri" w:hAnsi="Calibri"/>
                <w:sz w:val="24"/>
                <w:lang w:eastAsia="en-GB"/>
              </w:rPr>
            </w:pPr>
            <w:r w:rsidRPr="00CB41C9">
              <w:rPr>
                <w:rFonts w:ascii="Calibri" w:hAnsi="Calibri"/>
                <w:sz w:val="24"/>
                <w:lang w:eastAsia="en-GB"/>
              </w:rPr>
              <w:t>Dispensing fee*</w:t>
            </w:r>
          </w:p>
        </w:tc>
        <w:tc>
          <w:tcPr>
            <w:tcW w:w="0" w:type="auto"/>
            <w:hideMark/>
          </w:tcPr>
          <w:p w:rsidR="0072008E" w:rsidRPr="000A0DD3" w:rsidRDefault="0072008E" w:rsidP="0072008E">
            <w:pPr>
              <w:pStyle w:val="NoSpacing"/>
              <w:jc w:val="center"/>
              <w:rPr>
                <w:rFonts w:ascii="Calibri" w:hAnsi="Calibri"/>
                <w:sz w:val="24"/>
              </w:rPr>
            </w:pPr>
            <w:r w:rsidRPr="000A0DD3">
              <w:rPr>
                <w:rFonts w:ascii="Calibri" w:hAnsi="Calibri"/>
                <w:sz w:val="24"/>
              </w:rPr>
              <w:t>£2.209</w:t>
            </w:r>
          </w:p>
        </w:tc>
        <w:tc>
          <w:tcPr>
            <w:tcW w:w="0" w:type="auto"/>
            <w:tcBorders>
              <w:top w:val="single" w:sz="4" w:space="0" w:color="auto"/>
              <w:left w:val="single" w:sz="4" w:space="0" w:color="auto"/>
              <w:bottom w:val="single" w:sz="4" w:space="0" w:color="auto"/>
              <w:right w:val="single" w:sz="4" w:space="0" w:color="auto"/>
            </w:tcBorders>
            <w:hideMark/>
          </w:tcPr>
          <w:p w:rsidR="0072008E" w:rsidRPr="00CB41C9" w:rsidRDefault="0072008E" w:rsidP="0072008E">
            <w:pPr>
              <w:pStyle w:val="NoSpacing"/>
              <w:jc w:val="center"/>
              <w:rPr>
                <w:rFonts w:ascii="Calibri" w:hAnsi="Calibri"/>
                <w:sz w:val="24"/>
              </w:rPr>
            </w:pPr>
            <w:r w:rsidRPr="00CB41C9">
              <w:rPr>
                <w:rFonts w:ascii="Calibri" w:hAnsi="Calibri"/>
                <w:sz w:val="24"/>
              </w:rPr>
              <w:t>£2.209</w:t>
            </w:r>
          </w:p>
        </w:tc>
      </w:tr>
      <w:tr w:rsidR="0072008E" w:rsidRPr="00CB41C9" w:rsidTr="0072008E">
        <w:tc>
          <w:tcPr>
            <w:tcW w:w="5208" w:type="dxa"/>
            <w:tcBorders>
              <w:top w:val="single" w:sz="4" w:space="0" w:color="auto"/>
              <w:left w:val="single" w:sz="4" w:space="0" w:color="auto"/>
              <w:bottom w:val="single" w:sz="4" w:space="0" w:color="auto"/>
              <w:right w:val="single" w:sz="4" w:space="0" w:color="auto"/>
            </w:tcBorders>
            <w:hideMark/>
          </w:tcPr>
          <w:p w:rsidR="0072008E" w:rsidRPr="00CB41C9" w:rsidRDefault="0072008E" w:rsidP="0072008E">
            <w:pPr>
              <w:rPr>
                <w:rFonts w:ascii="Calibri" w:hAnsi="Calibri"/>
                <w:sz w:val="24"/>
                <w:lang w:eastAsia="en-GB"/>
              </w:rPr>
            </w:pPr>
            <w:r w:rsidRPr="00CB41C9">
              <w:rPr>
                <w:rFonts w:ascii="Calibri" w:hAnsi="Calibri"/>
                <w:sz w:val="24"/>
                <w:lang w:eastAsia="en-GB"/>
              </w:rPr>
              <w:t>VAT (20%)</w:t>
            </w:r>
          </w:p>
        </w:tc>
        <w:tc>
          <w:tcPr>
            <w:tcW w:w="0" w:type="auto"/>
            <w:hideMark/>
          </w:tcPr>
          <w:p w:rsidR="0072008E" w:rsidRPr="000A0DD3" w:rsidRDefault="0072008E" w:rsidP="0072008E">
            <w:pPr>
              <w:pStyle w:val="NoSpacing"/>
              <w:jc w:val="center"/>
              <w:rPr>
                <w:rFonts w:ascii="Calibri" w:hAnsi="Calibri"/>
                <w:sz w:val="24"/>
              </w:rPr>
            </w:pPr>
            <w:r w:rsidRPr="000A0DD3">
              <w:rPr>
                <w:rFonts w:ascii="Calibri" w:hAnsi="Calibri"/>
                <w:sz w:val="24"/>
              </w:rPr>
              <w:t>£1.96</w:t>
            </w:r>
          </w:p>
        </w:tc>
        <w:tc>
          <w:tcPr>
            <w:tcW w:w="0" w:type="auto"/>
            <w:tcBorders>
              <w:top w:val="single" w:sz="4" w:space="0" w:color="auto"/>
              <w:left w:val="single" w:sz="4" w:space="0" w:color="auto"/>
              <w:bottom w:val="single" w:sz="4" w:space="0" w:color="auto"/>
              <w:right w:val="single" w:sz="4" w:space="0" w:color="auto"/>
            </w:tcBorders>
            <w:hideMark/>
          </w:tcPr>
          <w:p w:rsidR="0072008E" w:rsidRPr="00CB41C9" w:rsidRDefault="0072008E" w:rsidP="0072008E">
            <w:pPr>
              <w:pStyle w:val="NoSpacing"/>
              <w:jc w:val="center"/>
              <w:rPr>
                <w:rFonts w:ascii="Calibri" w:hAnsi="Calibri"/>
                <w:sz w:val="24"/>
              </w:rPr>
            </w:pPr>
            <w:r w:rsidRPr="00CB41C9">
              <w:rPr>
                <w:rFonts w:ascii="Calibri" w:hAnsi="Calibri"/>
                <w:sz w:val="24"/>
              </w:rPr>
              <w:t>£1.96</w:t>
            </w:r>
          </w:p>
        </w:tc>
      </w:tr>
      <w:tr w:rsidR="0072008E" w:rsidTr="0072008E">
        <w:tc>
          <w:tcPr>
            <w:tcW w:w="5208" w:type="dxa"/>
            <w:tcBorders>
              <w:top w:val="single" w:sz="4" w:space="0" w:color="auto"/>
              <w:left w:val="single" w:sz="4" w:space="0" w:color="auto"/>
              <w:bottom w:val="single" w:sz="4" w:space="0" w:color="auto"/>
              <w:right w:val="single" w:sz="4" w:space="0" w:color="auto"/>
            </w:tcBorders>
            <w:hideMark/>
          </w:tcPr>
          <w:p w:rsidR="0072008E" w:rsidRDefault="0072008E" w:rsidP="0072008E">
            <w:pPr>
              <w:rPr>
                <w:rFonts w:ascii="Calibri" w:hAnsi="Calibri"/>
                <w:sz w:val="28"/>
                <w:lang w:eastAsia="en-GB"/>
              </w:rPr>
            </w:pPr>
            <w:r>
              <w:rPr>
                <w:rFonts w:ascii="Calibri" w:hAnsi="Calibri"/>
                <w:b/>
                <w:sz w:val="28"/>
                <w:lang w:eastAsia="en-GB"/>
              </w:rPr>
              <w:t>Total NHS Reimbursement</w:t>
            </w:r>
          </w:p>
        </w:tc>
        <w:tc>
          <w:tcPr>
            <w:tcW w:w="0" w:type="auto"/>
            <w:hideMark/>
          </w:tcPr>
          <w:p w:rsidR="0072008E" w:rsidRPr="00581738" w:rsidRDefault="0072008E" w:rsidP="0072008E">
            <w:pPr>
              <w:pStyle w:val="NoSpacing"/>
              <w:jc w:val="center"/>
              <w:rPr>
                <w:rFonts w:ascii="Calibri" w:hAnsi="Calibri"/>
                <w:b/>
                <w:sz w:val="28"/>
              </w:rPr>
            </w:pPr>
            <w:r w:rsidRPr="00581738">
              <w:rPr>
                <w:rFonts w:ascii="Calibri" w:hAnsi="Calibri"/>
                <w:b/>
                <w:sz w:val="28"/>
              </w:rPr>
              <w:t>£</w:t>
            </w:r>
            <w:r>
              <w:rPr>
                <w:rFonts w:ascii="Calibri" w:hAnsi="Calibri"/>
                <w:b/>
                <w:sz w:val="28"/>
              </w:rPr>
              <w:t>13.96</w:t>
            </w:r>
          </w:p>
        </w:tc>
        <w:tc>
          <w:tcPr>
            <w:tcW w:w="0" w:type="auto"/>
            <w:tcBorders>
              <w:top w:val="single" w:sz="4" w:space="0" w:color="auto"/>
              <w:left w:val="single" w:sz="4" w:space="0" w:color="auto"/>
              <w:bottom w:val="single" w:sz="4" w:space="0" w:color="auto"/>
              <w:right w:val="single" w:sz="4" w:space="0" w:color="auto"/>
            </w:tcBorders>
            <w:hideMark/>
          </w:tcPr>
          <w:p w:rsidR="0072008E" w:rsidRPr="00581738" w:rsidRDefault="0072008E" w:rsidP="0072008E">
            <w:pPr>
              <w:pStyle w:val="NoSpacing"/>
              <w:jc w:val="center"/>
              <w:rPr>
                <w:rFonts w:ascii="Calibri" w:hAnsi="Calibri"/>
                <w:b/>
                <w:sz w:val="28"/>
              </w:rPr>
            </w:pPr>
            <w:r w:rsidRPr="00581738">
              <w:rPr>
                <w:rFonts w:ascii="Calibri" w:hAnsi="Calibri"/>
                <w:b/>
                <w:sz w:val="28"/>
              </w:rPr>
              <w:t>£</w:t>
            </w:r>
            <w:r>
              <w:rPr>
                <w:rFonts w:ascii="Calibri" w:hAnsi="Calibri"/>
                <w:b/>
                <w:sz w:val="28"/>
              </w:rPr>
              <w:t>13.96</w:t>
            </w:r>
          </w:p>
        </w:tc>
      </w:tr>
      <w:tr w:rsidR="0072008E" w:rsidRPr="00CB41C9" w:rsidTr="0072008E">
        <w:tc>
          <w:tcPr>
            <w:tcW w:w="5208" w:type="dxa"/>
            <w:tcBorders>
              <w:top w:val="single" w:sz="4" w:space="0" w:color="auto"/>
              <w:left w:val="single" w:sz="4" w:space="0" w:color="auto"/>
              <w:bottom w:val="single" w:sz="4" w:space="0" w:color="auto"/>
              <w:right w:val="single" w:sz="4" w:space="0" w:color="auto"/>
            </w:tcBorders>
            <w:hideMark/>
          </w:tcPr>
          <w:p w:rsidR="0072008E" w:rsidRPr="00CB41C9" w:rsidRDefault="0072008E" w:rsidP="0072008E">
            <w:pPr>
              <w:rPr>
                <w:rFonts w:ascii="Calibri" w:hAnsi="Calibri"/>
                <w:sz w:val="24"/>
                <w:szCs w:val="24"/>
                <w:lang w:eastAsia="en-GB"/>
              </w:rPr>
            </w:pPr>
            <w:r w:rsidRPr="00CB41C9">
              <w:rPr>
                <w:rFonts w:ascii="Calibri" w:hAnsi="Calibri"/>
                <w:sz w:val="24"/>
                <w:szCs w:val="24"/>
                <w:lang w:eastAsia="en-GB"/>
              </w:rPr>
              <w:t>Actual cost after discount+</w:t>
            </w:r>
          </w:p>
        </w:tc>
        <w:tc>
          <w:tcPr>
            <w:tcW w:w="0" w:type="auto"/>
          </w:tcPr>
          <w:p w:rsidR="0072008E" w:rsidRPr="0074136C" w:rsidRDefault="0072008E" w:rsidP="0072008E">
            <w:pPr>
              <w:jc w:val="center"/>
              <w:rPr>
                <w:sz w:val="24"/>
              </w:rPr>
            </w:pPr>
            <w:r w:rsidRPr="0074136C">
              <w:rPr>
                <w:sz w:val="24"/>
              </w:rPr>
              <w:t>£</w:t>
            </w:r>
            <w:r>
              <w:rPr>
                <w:sz w:val="24"/>
              </w:rPr>
              <w:t>5</w:t>
            </w:r>
            <w:r w:rsidRPr="0074136C">
              <w:rPr>
                <w:sz w:val="24"/>
              </w:rPr>
              <w:t>.</w:t>
            </w:r>
            <w:r>
              <w:rPr>
                <w:sz w:val="24"/>
              </w:rPr>
              <w:t>84</w:t>
            </w:r>
          </w:p>
        </w:tc>
        <w:tc>
          <w:tcPr>
            <w:tcW w:w="0" w:type="auto"/>
            <w:tcBorders>
              <w:top w:val="single" w:sz="4" w:space="0" w:color="auto"/>
              <w:left w:val="single" w:sz="4" w:space="0" w:color="auto"/>
              <w:bottom w:val="single" w:sz="4" w:space="0" w:color="auto"/>
              <w:right w:val="single" w:sz="4" w:space="0" w:color="auto"/>
            </w:tcBorders>
          </w:tcPr>
          <w:p w:rsidR="0072008E" w:rsidRPr="00CB41C9" w:rsidRDefault="0072008E" w:rsidP="0072008E">
            <w:pPr>
              <w:jc w:val="center"/>
              <w:rPr>
                <w:sz w:val="24"/>
                <w:szCs w:val="24"/>
              </w:rPr>
            </w:pPr>
            <w:r w:rsidRPr="00CB41C9">
              <w:rPr>
                <w:sz w:val="24"/>
                <w:szCs w:val="24"/>
              </w:rPr>
              <w:t>£5.99</w:t>
            </w:r>
          </w:p>
        </w:tc>
      </w:tr>
      <w:tr w:rsidR="0072008E" w:rsidRPr="00CB41C9" w:rsidTr="0072008E">
        <w:tc>
          <w:tcPr>
            <w:tcW w:w="5208" w:type="dxa"/>
            <w:tcBorders>
              <w:top w:val="single" w:sz="4" w:space="0" w:color="auto"/>
              <w:left w:val="single" w:sz="4" w:space="0" w:color="auto"/>
              <w:bottom w:val="single" w:sz="4" w:space="0" w:color="auto"/>
              <w:right w:val="single" w:sz="4" w:space="0" w:color="auto"/>
            </w:tcBorders>
            <w:hideMark/>
          </w:tcPr>
          <w:p w:rsidR="0072008E" w:rsidRPr="00CB41C9" w:rsidRDefault="0072008E" w:rsidP="0072008E">
            <w:pPr>
              <w:rPr>
                <w:rFonts w:ascii="Calibri" w:hAnsi="Calibri"/>
                <w:sz w:val="24"/>
                <w:szCs w:val="24"/>
                <w:lang w:eastAsia="en-GB"/>
              </w:rPr>
            </w:pPr>
            <w:r w:rsidRPr="00CB41C9">
              <w:rPr>
                <w:rFonts w:ascii="Calibri" w:hAnsi="Calibri"/>
                <w:sz w:val="24"/>
                <w:szCs w:val="24"/>
                <w:lang w:eastAsia="en-GB"/>
              </w:rPr>
              <w:t>VAT (20%)</w:t>
            </w:r>
          </w:p>
        </w:tc>
        <w:tc>
          <w:tcPr>
            <w:tcW w:w="0" w:type="auto"/>
          </w:tcPr>
          <w:p w:rsidR="0072008E" w:rsidRPr="0074136C" w:rsidRDefault="0072008E" w:rsidP="0072008E">
            <w:pPr>
              <w:jc w:val="center"/>
              <w:rPr>
                <w:sz w:val="24"/>
              </w:rPr>
            </w:pPr>
            <w:r w:rsidRPr="0074136C">
              <w:rPr>
                <w:sz w:val="24"/>
              </w:rPr>
              <w:t>£</w:t>
            </w:r>
            <w:r>
              <w:rPr>
                <w:sz w:val="24"/>
              </w:rPr>
              <w:t>1.17</w:t>
            </w:r>
          </w:p>
        </w:tc>
        <w:tc>
          <w:tcPr>
            <w:tcW w:w="0" w:type="auto"/>
            <w:tcBorders>
              <w:top w:val="single" w:sz="4" w:space="0" w:color="auto"/>
              <w:left w:val="single" w:sz="4" w:space="0" w:color="auto"/>
              <w:bottom w:val="single" w:sz="4" w:space="0" w:color="auto"/>
              <w:right w:val="single" w:sz="4" w:space="0" w:color="auto"/>
            </w:tcBorders>
          </w:tcPr>
          <w:p w:rsidR="0072008E" w:rsidRPr="00CB41C9" w:rsidRDefault="0072008E" w:rsidP="0072008E">
            <w:pPr>
              <w:jc w:val="center"/>
              <w:rPr>
                <w:sz w:val="24"/>
                <w:szCs w:val="24"/>
              </w:rPr>
            </w:pPr>
            <w:r w:rsidRPr="00CB41C9">
              <w:rPr>
                <w:sz w:val="24"/>
                <w:szCs w:val="24"/>
              </w:rPr>
              <w:t>£1.20</w:t>
            </w:r>
          </w:p>
        </w:tc>
      </w:tr>
      <w:tr w:rsidR="0072008E" w:rsidRPr="00CB41C9" w:rsidTr="0072008E">
        <w:tc>
          <w:tcPr>
            <w:tcW w:w="5208" w:type="dxa"/>
            <w:tcBorders>
              <w:top w:val="single" w:sz="4" w:space="0" w:color="auto"/>
              <w:left w:val="single" w:sz="4" w:space="0" w:color="auto"/>
              <w:bottom w:val="single" w:sz="4" w:space="0" w:color="auto"/>
              <w:right w:val="single" w:sz="4" w:space="0" w:color="auto"/>
            </w:tcBorders>
            <w:hideMark/>
          </w:tcPr>
          <w:p w:rsidR="0072008E" w:rsidRPr="00CB41C9" w:rsidRDefault="0072008E" w:rsidP="0072008E">
            <w:pPr>
              <w:rPr>
                <w:rFonts w:ascii="Calibri" w:hAnsi="Calibri"/>
                <w:sz w:val="24"/>
                <w:szCs w:val="24"/>
                <w:lang w:eastAsia="en-GB"/>
              </w:rPr>
            </w:pPr>
            <w:r w:rsidRPr="00CB41C9">
              <w:rPr>
                <w:rFonts w:ascii="Calibri" w:hAnsi="Calibri"/>
                <w:sz w:val="24"/>
                <w:szCs w:val="24"/>
                <w:lang w:eastAsia="en-GB"/>
              </w:rPr>
              <w:t>Total cost to practice</w:t>
            </w:r>
          </w:p>
        </w:tc>
        <w:tc>
          <w:tcPr>
            <w:tcW w:w="0" w:type="auto"/>
          </w:tcPr>
          <w:p w:rsidR="0072008E" w:rsidRPr="0074136C" w:rsidRDefault="0072008E" w:rsidP="0072008E">
            <w:pPr>
              <w:jc w:val="center"/>
              <w:rPr>
                <w:sz w:val="24"/>
              </w:rPr>
            </w:pPr>
            <w:r w:rsidRPr="0074136C">
              <w:rPr>
                <w:sz w:val="24"/>
              </w:rPr>
              <w:t>£</w:t>
            </w:r>
            <w:r>
              <w:rPr>
                <w:sz w:val="24"/>
              </w:rPr>
              <w:t>7.01</w:t>
            </w:r>
          </w:p>
        </w:tc>
        <w:tc>
          <w:tcPr>
            <w:tcW w:w="0" w:type="auto"/>
            <w:tcBorders>
              <w:top w:val="single" w:sz="4" w:space="0" w:color="auto"/>
              <w:left w:val="single" w:sz="4" w:space="0" w:color="auto"/>
              <w:bottom w:val="single" w:sz="4" w:space="0" w:color="auto"/>
              <w:right w:val="single" w:sz="4" w:space="0" w:color="auto"/>
            </w:tcBorders>
          </w:tcPr>
          <w:p w:rsidR="0072008E" w:rsidRPr="00CB41C9" w:rsidRDefault="0072008E" w:rsidP="0072008E">
            <w:pPr>
              <w:jc w:val="center"/>
              <w:rPr>
                <w:sz w:val="24"/>
                <w:szCs w:val="24"/>
              </w:rPr>
            </w:pPr>
            <w:r w:rsidRPr="00CB41C9">
              <w:rPr>
                <w:sz w:val="24"/>
                <w:szCs w:val="24"/>
              </w:rPr>
              <w:t>£7.19</w:t>
            </w:r>
          </w:p>
        </w:tc>
      </w:tr>
      <w:tr w:rsidR="0072008E" w:rsidTr="0072008E">
        <w:tc>
          <w:tcPr>
            <w:tcW w:w="5208" w:type="dxa"/>
            <w:tcBorders>
              <w:top w:val="single" w:sz="4" w:space="0" w:color="auto"/>
              <w:left w:val="single" w:sz="4" w:space="0" w:color="auto"/>
              <w:bottom w:val="single" w:sz="4" w:space="0" w:color="auto"/>
              <w:right w:val="single" w:sz="4" w:space="0" w:color="auto"/>
            </w:tcBorders>
            <w:hideMark/>
          </w:tcPr>
          <w:p w:rsidR="0072008E" w:rsidRDefault="0072008E" w:rsidP="0072008E">
            <w:pPr>
              <w:rPr>
                <w:rFonts w:ascii="Calibri" w:hAnsi="Calibri"/>
                <w:sz w:val="28"/>
                <w:lang w:eastAsia="en-GB"/>
              </w:rPr>
            </w:pPr>
            <w:r>
              <w:rPr>
                <w:rFonts w:ascii="Calibri" w:hAnsi="Calibri"/>
                <w:b/>
                <w:sz w:val="28"/>
                <w:lang w:eastAsia="en-GB"/>
              </w:rPr>
              <w:t>Total Profit Per Dose (PPD)</w:t>
            </w:r>
          </w:p>
        </w:tc>
        <w:tc>
          <w:tcPr>
            <w:tcW w:w="0" w:type="auto"/>
            <w:hideMark/>
          </w:tcPr>
          <w:p w:rsidR="0072008E" w:rsidRPr="0074136C" w:rsidRDefault="0072008E" w:rsidP="0072008E">
            <w:pPr>
              <w:jc w:val="center"/>
              <w:rPr>
                <w:b/>
              </w:rPr>
            </w:pPr>
            <w:r w:rsidRPr="0074136C">
              <w:rPr>
                <w:b/>
                <w:sz w:val="28"/>
              </w:rPr>
              <w:t>£</w:t>
            </w:r>
            <w:r>
              <w:rPr>
                <w:b/>
                <w:sz w:val="28"/>
              </w:rPr>
              <w:t>6.95</w:t>
            </w:r>
          </w:p>
        </w:tc>
        <w:tc>
          <w:tcPr>
            <w:tcW w:w="0" w:type="auto"/>
            <w:tcBorders>
              <w:top w:val="single" w:sz="4" w:space="0" w:color="auto"/>
              <w:left w:val="single" w:sz="4" w:space="0" w:color="auto"/>
              <w:bottom w:val="single" w:sz="4" w:space="0" w:color="auto"/>
              <w:right w:val="single" w:sz="4" w:space="0" w:color="auto"/>
            </w:tcBorders>
            <w:hideMark/>
          </w:tcPr>
          <w:p w:rsidR="0072008E" w:rsidRPr="0074136C" w:rsidRDefault="0072008E" w:rsidP="0072008E">
            <w:pPr>
              <w:jc w:val="center"/>
              <w:rPr>
                <w:b/>
              </w:rPr>
            </w:pPr>
            <w:r w:rsidRPr="0074136C">
              <w:rPr>
                <w:b/>
                <w:sz w:val="28"/>
              </w:rPr>
              <w:t>£6</w:t>
            </w:r>
            <w:r>
              <w:rPr>
                <w:b/>
                <w:sz w:val="28"/>
              </w:rPr>
              <w:t>.77</w:t>
            </w:r>
          </w:p>
        </w:tc>
      </w:tr>
    </w:tbl>
    <w:p w:rsidR="00E75126" w:rsidRDefault="00E75126" w:rsidP="00E75126">
      <w:pPr>
        <w:contextualSpacing/>
        <w:rPr>
          <w:rFonts w:cstheme="minorHAnsi"/>
        </w:rPr>
      </w:pPr>
    </w:p>
    <w:p w:rsidR="00E75126" w:rsidRPr="00032990" w:rsidRDefault="00E75126" w:rsidP="00E75126">
      <w:pPr>
        <w:autoSpaceDE w:val="0"/>
        <w:autoSpaceDN w:val="0"/>
        <w:adjustRightInd w:val="0"/>
        <w:spacing w:after="0" w:line="240" w:lineRule="auto"/>
        <w:rPr>
          <w:rFonts w:ascii="Calibri" w:hAnsi="Calibri" w:cs="Calibri"/>
          <w:color w:val="000000"/>
          <w:sz w:val="24"/>
          <w:szCs w:val="24"/>
        </w:rPr>
      </w:pPr>
      <w:r w:rsidRPr="00032990">
        <w:rPr>
          <w:rFonts w:eastAsia="Times New Roman" w:cs="Times New Roman"/>
          <w:sz w:val="20"/>
        </w:rPr>
        <w:t>* The dispensing fee illustrated is for guidance purposes only and is based on a non-dispensing practice dispensing up to 4</w:t>
      </w:r>
      <w:r>
        <w:rPr>
          <w:rFonts w:eastAsia="Times New Roman" w:cs="Times New Roman"/>
          <w:sz w:val="20"/>
        </w:rPr>
        <w:t>57</w:t>
      </w:r>
      <w:r w:rsidRPr="00032990">
        <w:rPr>
          <w:rFonts w:eastAsia="Times New Roman" w:cs="Times New Roman"/>
          <w:sz w:val="20"/>
        </w:rPr>
        <w:t xml:space="preserve"> items a month under rules applying from 1 </w:t>
      </w:r>
      <w:r>
        <w:rPr>
          <w:rFonts w:eastAsia="Times New Roman" w:cs="Times New Roman"/>
          <w:sz w:val="20"/>
        </w:rPr>
        <w:t>October</w:t>
      </w:r>
      <w:r w:rsidRPr="00032990">
        <w:rPr>
          <w:rFonts w:eastAsia="Times New Roman" w:cs="Times New Roman"/>
          <w:sz w:val="20"/>
        </w:rPr>
        <w:t xml:space="preserve"> 201</w:t>
      </w:r>
      <w:r>
        <w:rPr>
          <w:rFonts w:eastAsia="Times New Roman" w:cs="Times New Roman"/>
          <w:sz w:val="20"/>
        </w:rPr>
        <w:t>7</w:t>
      </w:r>
      <w:r w:rsidRPr="00032990">
        <w:rPr>
          <w:rFonts w:eastAsia="Times New Roman" w:cs="Times New Roman"/>
          <w:sz w:val="20"/>
        </w:rPr>
        <w:t xml:space="preserve"> (see separate table).</w:t>
      </w:r>
    </w:p>
    <w:p w:rsidR="00E75126" w:rsidRPr="0023052F" w:rsidRDefault="00E75126" w:rsidP="00E75126">
      <w:pPr>
        <w:contextualSpacing/>
        <w:rPr>
          <w:rFonts w:cstheme="minorHAnsi"/>
          <w:sz w:val="20"/>
        </w:rPr>
      </w:pPr>
      <w:r>
        <w:rPr>
          <w:rFonts w:cstheme="minorHAnsi"/>
        </w:rPr>
        <w:t xml:space="preserve">+ </w:t>
      </w:r>
      <w:r w:rsidRPr="0023052F">
        <w:rPr>
          <w:rFonts w:cstheme="minorHAnsi"/>
          <w:sz w:val="20"/>
        </w:rPr>
        <w:t>Discount based on order of less than 1000 doses. Additional discounts are available to those practices wanting to order more than 1000 doses.</w:t>
      </w:r>
    </w:p>
    <w:p w:rsidR="00E75126" w:rsidRDefault="00E75126" w:rsidP="00E75126">
      <w:pPr>
        <w:contextualSpacing/>
        <w:rPr>
          <w:rFonts w:cstheme="minorHAnsi"/>
        </w:rPr>
      </w:pPr>
    </w:p>
    <w:p w:rsidR="00E75126" w:rsidRPr="00CB41C9" w:rsidRDefault="00E75126" w:rsidP="00E75126">
      <w:pPr>
        <w:spacing w:after="0" w:line="240" w:lineRule="auto"/>
        <w:rPr>
          <w:rFonts w:eastAsia="Times New Roman" w:cstheme="minorHAnsi"/>
          <w:sz w:val="24"/>
          <w:szCs w:val="24"/>
        </w:rPr>
      </w:pPr>
      <w:r w:rsidRPr="00CB41C9">
        <w:rPr>
          <w:rFonts w:eastAsia="Times New Roman" w:cstheme="minorHAnsi"/>
          <w:b/>
          <w:bCs/>
          <w:sz w:val="24"/>
          <w:szCs w:val="24"/>
        </w:rPr>
        <w:t>Seqirus’ offer also includes:</w:t>
      </w:r>
    </w:p>
    <w:p w:rsidR="00E75126" w:rsidRPr="00CB41C9" w:rsidRDefault="00E75126" w:rsidP="00E75126">
      <w:pPr>
        <w:pStyle w:val="NoSpacing"/>
        <w:rPr>
          <w:sz w:val="24"/>
          <w:szCs w:val="24"/>
        </w:rPr>
      </w:pPr>
    </w:p>
    <w:p w:rsidR="00E75126" w:rsidRPr="00CB41C9" w:rsidRDefault="00E75126" w:rsidP="00E75126">
      <w:pPr>
        <w:pStyle w:val="NoSpacing"/>
        <w:numPr>
          <w:ilvl w:val="0"/>
          <w:numId w:val="2"/>
        </w:numPr>
        <w:rPr>
          <w:sz w:val="24"/>
          <w:szCs w:val="24"/>
        </w:rPr>
      </w:pPr>
      <w:r w:rsidRPr="00CB41C9">
        <w:rPr>
          <w:sz w:val="24"/>
          <w:szCs w:val="24"/>
        </w:rPr>
        <w:t>20% sale or return on contract order volume on orders placed before 22 December 2017 and 10% thereafter. Any sale or return vaccine must be notified to Seqirus by 28 February 2019 to be eligible for credit.</w:t>
      </w:r>
    </w:p>
    <w:p w:rsidR="00E75126" w:rsidRPr="00CB41C9" w:rsidRDefault="00E75126" w:rsidP="00E75126">
      <w:pPr>
        <w:pStyle w:val="NoSpacing"/>
        <w:numPr>
          <w:ilvl w:val="0"/>
          <w:numId w:val="2"/>
        </w:numPr>
        <w:rPr>
          <w:sz w:val="24"/>
          <w:szCs w:val="24"/>
        </w:rPr>
      </w:pPr>
      <w:r w:rsidRPr="00CB41C9">
        <w:rPr>
          <w:sz w:val="24"/>
          <w:szCs w:val="24"/>
        </w:rPr>
        <w:lastRenderedPageBreak/>
        <w:t>150 days’ credit for FLUAD® orders of 1,000+ doses. Otherwise 120 days’ credit from each invoice date for orders placed before 22 December 2017 and 90 days thereafter.</w:t>
      </w:r>
    </w:p>
    <w:p w:rsidR="00E75126" w:rsidRPr="00CB41C9" w:rsidRDefault="00E75126" w:rsidP="00E75126">
      <w:pPr>
        <w:pStyle w:val="NoSpacing"/>
        <w:numPr>
          <w:ilvl w:val="0"/>
          <w:numId w:val="2"/>
        </w:numPr>
        <w:rPr>
          <w:sz w:val="24"/>
          <w:szCs w:val="24"/>
        </w:rPr>
      </w:pPr>
      <w:r w:rsidRPr="00CB41C9">
        <w:rPr>
          <w:sz w:val="24"/>
          <w:szCs w:val="24"/>
        </w:rPr>
        <w:t>100 doses minimum delivery volume</w:t>
      </w:r>
    </w:p>
    <w:p w:rsidR="00E75126" w:rsidRPr="00CB41C9" w:rsidRDefault="00E75126" w:rsidP="00E75126">
      <w:pPr>
        <w:pStyle w:val="NoSpacing"/>
        <w:numPr>
          <w:ilvl w:val="0"/>
          <w:numId w:val="2"/>
        </w:numPr>
        <w:rPr>
          <w:sz w:val="24"/>
          <w:szCs w:val="24"/>
        </w:rPr>
      </w:pPr>
      <w:r w:rsidRPr="00CB41C9">
        <w:rPr>
          <w:sz w:val="24"/>
          <w:szCs w:val="24"/>
        </w:rPr>
        <w:t>Named day cold chain delivery</w:t>
      </w:r>
    </w:p>
    <w:p w:rsidR="00E75126" w:rsidRPr="00CB41C9" w:rsidRDefault="00E75126" w:rsidP="00E75126">
      <w:pPr>
        <w:pStyle w:val="NoSpacing"/>
        <w:numPr>
          <w:ilvl w:val="0"/>
          <w:numId w:val="2"/>
        </w:numPr>
        <w:rPr>
          <w:sz w:val="24"/>
          <w:szCs w:val="24"/>
        </w:rPr>
      </w:pPr>
      <w:r w:rsidRPr="00CB41C9">
        <w:rPr>
          <w:sz w:val="24"/>
          <w:szCs w:val="24"/>
        </w:rPr>
        <w:t>Practice Promotional materials (including materials to distinguish between two vaccines)</w:t>
      </w:r>
    </w:p>
    <w:p w:rsidR="00E75126" w:rsidRPr="00CB41C9" w:rsidRDefault="00E75126" w:rsidP="00E75126">
      <w:pPr>
        <w:pStyle w:val="NoSpacing"/>
        <w:numPr>
          <w:ilvl w:val="0"/>
          <w:numId w:val="2"/>
        </w:numPr>
        <w:rPr>
          <w:sz w:val="24"/>
          <w:szCs w:val="24"/>
        </w:rPr>
      </w:pPr>
      <w:r w:rsidRPr="00CB41C9">
        <w:rPr>
          <w:sz w:val="24"/>
          <w:szCs w:val="24"/>
        </w:rPr>
        <w:t>Orders can be amended or cancelled up to 28 February 2018</w:t>
      </w:r>
    </w:p>
    <w:p w:rsidR="00E75126" w:rsidRPr="00CB41C9" w:rsidRDefault="00E75126" w:rsidP="00E75126">
      <w:pPr>
        <w:pStyle w:val="NoSpacing"/>
        <w:numPr>
          <w:ilvl w:val="0"/>
          <w:numId w:val="2"/>
        </w:numPr>
        <w:rPr>
          <w:sz w:val="24"/>
          <w:szCs w:val="24"/>
        </w:rPr>
      </w:pPr>
      <w:r w:rsidRPr="00CB41C9">
        <w:rPr>
          <w:sz w:val="24"/>
          <w:szCs w:val="24"/>
        </w:rPr>
        <w:t xml:space="preserve">Deliveries are forecasted to begin w/c 10 September 2018 allocated whilst stock lasts. If stock is released earlier than the above date, then it will be offered to accounts in priority of date the order was placed. </w:t>
      </w:r>
    </w:p>
    <w:p w:rsidR="00E75126" w:rsidRPr="00CB41C9" w:rsidRDefault="00E75126" w:rsidP="00E75126">
      <w:pPr>
        <w:pStyle w:val="NoSpacing"/>
        <w:rPr>
          <w:b/>
          <w:sz w:val="24"/>
          <w:szCs w:val="24"/>
        </w:rPr>
      </w:pPr>
    </w:p>
    <w:p w:rsidR="00E75126" w:rsidRPr="00E75126" w:rsidRDefault="00E75126" w:rsidP="00E75126">
      <w:pPr>
        <w:pStyle w:val="NoSpacing"/>
        <w:rPr>
          <w:b/>
          <w:sz w:val="28"/>
          <w:szCs w:val="24"/>
        </w:rPr>
      </w:pPr>
      <w:r w:rsidRPr="00E75126">
        <w:rPr>
          <w:b/>
          <w:sz w:val="28"/>
          <w:szCs w:val="24"/>
        </w:rPr>
        <w:t>Contact</w:t>
      </w:r>
      <w:r>
        <w:rPr>
          <w:b/>
          <w:sz w:val="28"/>
          <w:szCs w:val="24"/>
        </w:rPr>
        <w:t xml:space="preserve"> Seqirus</w:t>
      </w:r>
    </w:p>
    <w:p w:rsidR="00E75126" w:rsidRPr="00CB41C9" w:rsidRDefault="00E75126" w:rsidP="00E75126">
      <w:pPr>
        <w:pStyle w:val="NoSpacing"/>
        <w:rPr>
          <w:sz w:val="24"/>
          <w:szCs w:val="24"/>
        </w:rPr>
      </w:pPr>
    </w:p>
    <w:p w:rsidR="00E75126" w:rsidRDefault="00E75126" w:rsidP="00E75126">
      <w:pPr>
        <w:pStyle w:val="NoSpacing"/>
        <w:rPr>
          <w:sz w:val="24"/>
          <w:szCs w:val="24"/>
        </w:rPr>
      </w:pPr>
      <w:r w:rsidRPr="00CB41C9">
        <w:rPr>
          <w:sz w:val="24"/>
          <w:szCs w:val="24"/>
        </w:rPr>
        <w:t>Tel: 01530 454288</w:t>
      </w:r>
      <w:r w:rsidR="00E07671">
        <w:rPr>
          <w:sz w:val="24"/>
          <w:szCs w:val="24"/>
        </w:rPr>
        <w:t xml:space="preserve">; </w:t>
      </w:r>
      <w:r w:rsidRPr="00CB41C9">
        <w:rPr>
          <w:sz w:val="24"/>
          <w:szCs w:val="24"/>
        </w:rPr>
        <w:t xml:space="preserve">Email: </w:t>
      </w:r>
      <w:hyperlink r:id="rId9" w:history="1">
        <w:r w:rsidRPr="00CB41C9">
          <w:rPr>
            <w:rStyle w:val="Hyperlink"/>
            <w:sz w:val="24"/>
            <w:szCs w:val="24"/>
          </w:rPr>
          <w:t>flu.salesuk@seqirus.com</w:t>
        </w:r>
      </w:hyperlink>
      <w:r w:rsidRPr="00CB41C9">
        <w:rPr>
          <w:sz w:val="24"/>
          <w:szCs w:val="24"/>
        </w:rPr>
        <w:t xml:space="preserve"> </w:t>
      </w:r>
    </w:p>
    <w:p w:rsidR="00E75126" w:rsidRDefault="00E75126" w:rsidP="00CB41C9">
      <w:pPr>
        <w:pStyle w:val="NoSpacing"/>
        <w:jc w:val="center"/>
        <w:rPr>
          <w:b/>
          <w:color w:val="7030A0"/>
          <w:sz w:val="40"/>
        </w:rPr>
      </w:pPr>
    </w:p>
    <w:p w:rsidR="00E75126" w:rsidRDefault="00E75126" w:rsidP="00CB41C9">
      <w:pPr>
        <w:pStyle w:val="NoSpacing"/>
        <w:jc w:val="center"/>
        <w:rPr>
          <w:b/>
          <w:color w:val="7030A0"/>
          <w:sz w:val="40"/>
        </w:rPr>
      </w:pPr>
    </w:p>
    <w:p w:rsidR="00E75126" w:rsidRDefault="00E75126" w:rsidP="00CB41C9">
      <w:pPr>
        <w:pStyle w:val="NoSpacing"/>
        <w:jc w:val="center"/>
        <w:rPr>
          <w:b/>
          <w:color w:val="7030A0"/>
          <w:sz w:val="40"/>
        </w:rPr>
      </w:pPr>
    </w:p>
    <w:p w:rsidR="00E75126" w:rsidRDefault="00E75126" w:rsidP="00CB41C9">
      <w:pPr>
        <w:pStyle w:val="NoSpacing"/>
        <w:jc w:val="center"/>
        <w:rPr>
          <w:b/>
          <w:color w:val="7030A0"/>
          <w:sz w:val="40"/>
        </w:rPr>
      </w:pPr>
    </w:p>
    <w:p w:rsidR="00E75126" w:rsidRDefault="00E75126" w:rsidP="00CB41C9">
      <w:pPr>
        <w:pStyle w:val="NoSpacing"/>
        <w:jc w:val="center"/>
        <w:rPr>
          <w:b/>
          <w:color w:val="7030A0"/>
          <w:sz w:val="40"/>
        </w:rPr>
      </w:pPr>
    </w:p>
    <w:p w:rsidR="00E75126" w:rsidRDefault="00E75126" w:rsidP="00CB41C9">
      <w:pPr>
        <w:pStyle w:val="NoSpacing"/>
        <w:jc w:val="center"/>
        <w:rPr>
          <w:b/>
          <w:color w:val="7030A0"/>
          <w:sz w:val="40"/>
        </w:rPr>
      </w:pPr>
    </w:p>
    <w:p w:rsidR="00E75126" w:rsidRDefault="00E75126" w:rsidP="00CB41C9">
      <w:pPr>
        <w:pStyle w:val="NoSpacing"/>
        <w:jc w:val="center"/>
        <w:rPr>
          <w:b/>
          <w:color w:val="7030A0"/>
          <w:sz w:val="40"/>
        </w:rPr>
      </w:pPr>
    </w:p>
    <w:p w:rsidR="00E75126" w:rsidRDefault="00E75126" w:rsidP="00CB41C9">
      <w:pPr>
        <w:pStyle w:val="NoSpacing"/>
        <w:jc w:val="center"/>
        <w:rPr>
          <w:b/>
          <w:color w:val="7030A0"/>
          <w:sz w:val="40"/>
        </w:rPr>
      </w:pPr>
    </w:p>
    <w:p w:rsidR="00E75126" w:rsidRDefault="00E75126" w:rsidP="00CB41C9">
      <w:pPr>
        <w:pStyle w:val="NoSpacing"/>
        <w:jc w:val="center"/>
        <w:rPr>
          <w:b/>
          <w:color w:val="7030A0"/>
          <w:sz w:val="40"/>
        </w:rPr>
      </w:pPr>
    </w:p>
    <w:p w:rsidR="00E75126" w:rsidRDefault="00E75126" w:rsidP="00CB41C9">
      <w:pPr>
        <w:pStyle w:val="NoSpacing"/>
        <w:jc w:val="center"/>
        <w:rPr>
          <w:b/>
          <w:color w:val="7030A0"/>
          <w:sz w:val="40"/>
        </w:rPr>
      </w:pPr>
    </w:p>
    <w:p w:rsidR="00E75126" w:rsidRDefault="00E75126" w:rsidP="00CB41C9">
      <w:pPr>
        <w:pStyle w:val="NoSpacing"/>
        <w:jc w:val="center"/>
        <w:rPr>
          <w:b/>
          <w:color w:val="7030A0"/>
          <w:sz w:val="40"/>
        </w:rPr>
      </w:pPr>
    </w:p>
    <w:p w:rsidR="00E75126" w:rsidRDefault="00E75126" w:rsidP="00CB41C9">
      <w:pPr>
        <w:pStyle w:val="NoSpacing"/>
        <w:jc w:val="center"/>
        <w:rPr>
          <w:b/>
          <w:color w:val="7030A0"/>
          <w:sz w:val="40"/>
        </w:rPr>
      </w:pPr>
    </w:p>
    <w:p w:rsidR="00E75126" w:rsidRDefault="00E75126" w:rsidP="00CB41C9">
      <w:pPr>
        <w:pStyle w:val="NoSpacing"/>
        <w:jc w:val="center"/>
        <w:rPr>
          <w:b/>
          <w:color w:val="7030A0"/>
          <w:sz w:val="40"/>
        </w:rPr>
      </w:pPr>
    </w:p>
    <w:p w:rsidR="00E75126" w:rsidRDefault="00E75126" w:rsidP="00CB41C9">
      <w:pPr>
        <w:pStyle w:val="NoSpacing"/>
        <w:jc w:val="center"/>
        <w:rPr>
          <w:b/>
          <w:color w:val="7030A0"/>
          <w:sz w:val="40"/>
        </w:rPr>
      </w:pPr>
    </w:p>
    <w:p w:rsidR="00E75126" w:rsidRDefault="00E75126" w:rsidP="00CB41C9">
      <w:pPr>
        <w:pStyle w:val="NoSpacing"/>
        <w:jc w:val="center"/>
        <w:rPr>
          <w:b/>
          <w:color w:val="7030A0"/>
          <w:sz w:val="40"/>
        </w:rPr>
      </w:pPr>
    </w:p>
    <w:p w:rsidR="00E75126" w:rsidRDefault="00E75126" w:rsidP="00CB41C9">
      <w:pPr>
        <w:pStyle w:val="NoSpacing"/>
        <w:jc w:val="center"/>
        <w:rPr>
          <w:b/>
          <w:color w:val="7030A0"/>
          <w:sz w:val="40"/>
        </w:rPr>
      </w:pPr>
    </w:p>
    <w:p w:rsidR="00E75126" w:rsidRDefault="00E75126" w:rsidP="00CB41C9">
      <w:pPr>
        <w:pStyle w:val="NoSpacing"/>
        <w:jc w:val="center"/>
        <w:rPr>
          <w:b/>
          <w:color w:val="7030A0"/>
          <w:sz w:val="40"/>
        </w:rPr>
      </w:pPr>
    </w:p>
    <w:p w:rsidR="00E75126" w:rsidRDefault="00E75126" w:rsidP="00CB41C9">
      <w:pPr>
        <w:pStyle w:val="NoSpacing"/>
        <w:jc w:val="center"/>
        <w:rPr>
          <w:b/>
          <w:color w:val="7030A0"/>
          <w:sz w:val="40"/>
        </w:rPr>
      </w:pPr>
    </w:p>
    <w:p w:rsidR="00E07671" w:rsidRDefault="00E07671" w:rsidP="00CB41C9">
      <w:pPr>
        <w:pStyle w:val="NoSpacing"/>
        <w:jc w:val="center"/>
        <w:rPr>
          <w:b/>
          <w:color w:val="7030A0"/>
          <w:sz w:val="40"/>
        </w:rPr>
      </w:pPr>
    </w:p>
    <w:p w:rsidR="00CB41C9" w:rsidRPr="00253888" w:rsidRDefault="00CB41C9" w:rsidP="00CB41C9">
      <w:pPr>
        <w:pStyle w:val="NoSpacing"/>
        <w:jc w:val="center"/>
        <w:rPr>
          <w:b/>
          <w:color w:val="7030A0"/>
          <w:sz w:val="40"/>
        </w:rPr>
      </w:pPr>
      <w:r w:rsidRPr="00253888">
        <w:rPr>
          <w:b/>
          <w:color w:val="7030A0"/>
          <w:sz w:val="40"/>
        </w:rPr>
        <w:lastRenderedPageBreak/>
        <w:t>MASTA</w:t>
      </w:r>
    </w:p>
    <w:p w:rsidR="00CB41C9" w:rsidRDefault="00CB41C9" w:rsidP="00CB41C9">
      <w:pPr>
        <w:pStyle w:val="NoSpacing"/>
      </w:pPr>
    </w:p>
    <w:p w:rsidR="00CB41C9" w:rsidRPr="002B19C3" w:rsidRDefault="00CB41C9" w:rsidP="00CB41C9">
      <w:pPr>
        <w:jc w:val="center"/>
        <w:rPr>
          <w:rFonts w:ascii="Calibri" w:hAnsi="Calibri"/>
          <w:sz w:val="32"/>
          <w:szCs w:val="32"/>
        </w:rPr>
      </w:pPr>
      <w:r w:rsidRPr="002B19C3">
        <w:rPr>
          <w:rFonts w:ascii="Calibri" w:hAnsi="Calibri"/>
          <w:b/>
          <w:sz w:val="32"/>
          <w:szCs w:val="32"/>
        </w:rPr>
        <w:t>A choice of vaccines</w:t>
      </w:r>
      <w:r w:rsidRPr="002B19C3">
        <w:rPr>
          <w:rFonts w:ascii="Calibri" w:hAnsi="Calibri"/>
          <w:sz w:val="32"/>
          <w:szCs w:val="32"/>
        </w:rPr>
        <w:t>+</w:t>
      </w:r>
    </w:p>
    <w:tbl>
      <w:tblPr>
        <w:tblStyle w:val="TableGrid"/>
        <w:tblW w:w="0" w:type="auto"/>
        <w:tblLook w:val="04A0" w:firstRow="1" w:lastRow="0" w:firstColumn="1" w:lastColumn="0" w:noHBand="0" w:noVBand="1"/>
      </w:tblPr>
      <w:tblGrid>
        <w:gridCol w:w="3335"/>
        <w:gridCol w:w="1911"/>
        <w:gridCol w:w="2147"/>
      </w:tblGrid>
      <w:tr w:rsidR="00CB41C9" w:rsidTr="002B7BE5">
        <w:tc>
          <w:tcPr>
            <w:tcW w:w="0" w:type="auto"/>
          </w:tcPr>
          <w:p w:rsidR="00CB41C9" w:rsidRPr="00581738" w:rsidRDefault="00CB41C9" w:rsidP="002B7BE5">
            <w:pPr>
              <w:pStyle w:val="NoSpacing"/>
              <w:rPr>
                <w:rFonts w:ascii="Calibri" w:hAnsi="Calibri"/>
                <w:sz w:val="24"/>
                <w:szCs w:val="24"/>
              </w:rPr>
            </w:pPr>
          </w:p>
        </w:tc>
        <w:tc>
          <w:tcPr>
            <w:tcW w:w="0" w:type="auto"/>
          </w:tcPr>
          <w:p w:rsidR="00CB41C9" w:rsidRPr="00581738" w:rsidRDefault="00CB41C9" w:rsidP="002B7BE5">
            <w:pPr>
              <w:pStyle w:val="NoSpacing"/>
              <w:jc w:val="center"/>
              <w:rPr>
                <w:rFonts w:ascii="Calibri" w:hAnsi="Calibri"/>
                <w:b/>
                <w:sz w:val="24"/>
                <w:szCs w:val="24"/>
              </w:rPr>
            </w:pPr>
            <w:r w:rsidRPr="00581738">
              <w:rPr>
                <w:rFonts w:ascii="Calibri" w:hAnsi="Calibri"/>
                <w:b/>
                <w:sz w:val="24"/>
                <w:szCs w:val="24"/>
              </w:rPr>
              <w:t>Trivalent</w:t>
            </w:r>
            <w:r w:rsidR="00C90D2F">
              <w:rPr>
                <w:rFonts w:ascii="Calibri" w:hAnsi="Calibri"/>
                <w:b/>
                <w:sz w:val="24"/>
                <w:szCs w:val="24"/>
              </w:rPr>
              <w:t xml:space="preserve"> (5</w:t>
            </w:r>
            <w:r w:rsidR="00AA73E5">
              <w:rPr>
                <w:rFonts w:ascii="Calibri" w:hAnsi="Calibri"/>
                <w:b/>
                <w:sz w:val="24"/>
                <w:szCs w:val="24"/>
              </w:rPr>
              <w:t>6</w:t>
            </w:r>
            <w:r w:rsidR="00C90D2F">
              <w:rPr>
                <w:rFonts w:ascii="Calibri" w:hAnsi="Calibri"/>
                <w:b/>
                <w:sz w:val="24"/>
                <w:szCs w:val="24"/>
              </w:rPr>
              <w:t>.</w:t>
            </w:r>
            <w:r w:rsidR="00AA73E5">
              <w:rPr>
                <w:rFonts w:ascii="Calibri" w:hAnsi="Calibri"/>
                <w:b/>
                <w:sz w:val="24"/>
                <w:szCs w:val="24"/>
              </w:rPr>
              <w:t>8</w:t>
            </w:r>
            <w:r>
              <w:rPr>
                <w:rFonts w:ascii="Calibri" w:hAnsi="Calibri"/>
                <w:b/>
                <w:sz w:val="24"/>
                <w:szCs w:val="24"/>
              </w:rPr>
              <w:t>%)</w:t>
            </w:r>
          </w:p>
        </w:tc>
        <w:tc>
          <w:tcPr>
            <w:tcW w:w="0" w:type="auto"/>
          </w:tcPr>
          <w:p w:rsidR="00CB41C9" w:rsidRPr="00581738" w:rsidRDefault="00CB41C9" w:rsidP="002B7BE5">
            <w:pPr>
              <w:pStyle w:val="NoSpacing"/>
              <w:jc w:val="center"/>
              <w:rPr>
                <w:rFonts w:ascii="Calibri" w:hAnsi="Calibri"/>
                <w:b/>
                <w:sz w:val="24"/>
                <w:szCs w:val="24"/>
              </w:rPr>
            </w:pPr>
            <w:r w:rsidRPr="00581738">
              <w:rPr>
                <w:rFonts w:ascii="Calibri" w:hAnsi="Calibri"/>
                <w:b/>
                <w:sz w:val="24"/>
                <w:szCs w:val="24"/>
              </w:rPr>
              <w:t>Quadrivalent</w:t>
            </w:r>
            <w:r>
              <w:rPr>
                <w:rFonts w:ascii="Calibri" w:hAnsi="Calibri"/>
                <w:b/>
                <w:sz w:val="24"/>
                <w:szCs w:val="24"/>
              </w:rPr>
              <w:t xml:space="preserve"> (50%)</w:t>
            </w:r>
          </w:p>
        </w:tc>
      </w:tr>
      <w:tr w:rsidR="00CB41C9" w:rsidTr="002B7BE5">
        <w:tc>
          <w:tcPr>
            <w:tcW w:w="0" w:type="auto"/>
          </w:tcPr>
          <w:p w:rsidR="00CB41C9" w:rsidRPr="00581738" w:rsidRDefault="00CB41C9" w:rsidP="002B7BE5">
            <w:pPr>
              <w:pStyle w:val="NoSpacing"/>
              <w:rPr>
                <w:rFonts w:ascii="Calibri" w:hAnsi="Calibri"/>
                <w:sz w:val="24"/>
                <w:szCs w:val="24"/>
              </w:rPr>
            </w:pPr>
            <w:r w:rsidRPr="00581738">
              <w:rPr>
                <w:rFonts w:ascii="Calibri" w:hAnsi="Calibri"/>
                <w:sz w:val="24"/>
                <w:szCs w:val="24"/>
              </w:rPr>
              <w:t>NHS Price</w:t>
            </w:r>
          </w:p>
        </w:tc>
        <w:tc>
          <w:tcPr>
            <w:tcW w:w="0" w:type="auto"/>
          </w:tcPr>
          <w:p w:rsidR="00CB41C9" w:rsidRPr="00581738" w:rsidRDefault="00CB41C9" w:rsidP="002B7BE5">
            <w:pPr>
              <w:pStyle w:val="NoSpacing"/>
              <w:jc w:val="center"/>
              <w:rPr>
                <w:rFonts w:ascii="Calibri" w:hAnsi="Calibri"/>
                <w:sz w:val="24"/>
                <w:szCs w:val="24"/>
              </w:rPr>
            </w:pPr>
            <w:r w:rsidRPr="00581738">
              <w:rPr>
                <w:rFonts w:ascii="Calibri" w:hAnsi="Calibri"/>
                <w:sz w:val="24"/>
                <w:szCs w:val="24"/>
              </w:rPr>
              <w:t>£6.59</w:t>
            </w:r>
          </w:p>
        </w:tc>
        <w:tc>
          <w:tcPr>
            <w:tcW w:w="0" w:type="auto"/>
          </w:tcPr>
          <w:p w:rsidR="00CB41C9" w:rsidRPr="00581738" w:rsidRDefault="00CB41C9" w:rsidP="002B7BE5">
            <w:pPr>
              <w:pStyle w:val="NoSpacing"/>
              <w:jc w:val="center"/>
              <w:rPr>
                <w:rFonts w:ascii="Calibri" w:hAnsi="Calibri"/>
                <w:sz w:val="24"/>
                <w:szCs w:val="24"/>
              </w:rPr>
            </w:pPr>
            <w:r w:rsidRPr="00581738">
              <w:rPr>
                <w:rFonts w:ascii="Calibri" w:hAnsi="Calibri"/>
                <w:sz w:val="24"/>
                <w:szCs w:val="24"/>
              </w:rPr>
              <w:t>£8.00</w:t>
            </w:r>
          </w:p>
        </w:tc>
      </w:tr>
      <w:tr w:rsidR="00CB41C9" w:rsidTr="002B7BE5">
        <w:tc>
          <w:tcPr>
            <w:tcW w:w="0" w:type="auto"/>
          </w:tcPr>
          <w:p w:rsidR="00CB41C9" w:rsidRPr="00581738" w:rsidRDefault="00CB41C9" w:rsidP="002B7BE5">
            <w:pPr>
              <w:pStyle w:val="NoSpacing"/>
              <w:rPr>
                <w:rFonts w:ascii="Calibri" w:hAnsi="Calibri"/>
                <w:sz w:val="24"/>
                <w:szCs w:val="24"/>
              </w:rPr>
            </w:pPr>
            <w:r w:rsidRPr="00581738">
              <w:rPr>
                <w:rFonts w:ascii="Calibri" w:hAnsi="Calibri"/>
                <w:sz w:val="24"/>
                <w:szCs w:val="24"/>
              </w:rPr>
              <w:t>Dispensing fee*</w:t>
            </w:r>
          </w:p>
        </w:tc>
        <w:tc>
          <w:tcPr>
            <w:tcW w:w="0" w:type="auto"/>
          </w:tcPr>
          <w:p w:rsidR="00CB41C9" w:rsidRPr="00581738" w:rsidRDefault="00CB41C9" w:rsidP="002B7BE5">
            <w:pPr>
              <w:pStyle w:val="NoSpacing"/>
              <w:jc w:val="center"/>
              <w:rPr>
                <w:rFonts w:ascii="Calibri" w:hAnsi="Calibri"/>
                <w:sz w:val="24"/>
                <w:szCs w:val="24"/>
              </w:rPr>
            </w:pPr>
            <w:r w:rsidRPr="00581738">
              <w:rPr>
                <w:rFonts w:ascii="Calibri" w:hAnsi="Calibri"/>
                <w:sz w:val="24"/>
                <w:szCs w:val="24"/>
              </w:rPr>
              <w:t>£</w:t>
            </w:r>
            <w:r w:rsidRPr="00D43F93">
              <w:rPr>
                <w:rFonts w:ascii="Calibri" w:hAnsi="Calibri"/>
                <w:sz w:val="24"/>
                <w:szCs w:val="24"/>
              </w:rPr>
              <w:t>2</w:t>
            </w:r>
            <w:r>
              <w:rPr>
                <w:rFonts w:ascii="Calibri" w:hAnsi="Calibri"/>
                <w:sz w:val="24"/>
                <w:szCs w:val="24"/>
              </w:rPr>
              <w:t>.</w:t>
            </w:r>
            <w:r w:rsidRPr="00D43F93">
              <w:rPr>
                <w:rFonts w:ascii="Calibri" w:hAnsi="Calibri"/>
                <w:sz w:val="24"/>
                <w:szCs w:val="24"/>
              </w:rPr>
              <w:t>209</w:t>
            </w:r>
          </w:p>
        </w:tc>
        <w:tc>
          <w:tcPr>
            <w:tcW w:w="0" w:type="auto"/>
          </w:tcPr>
          <w:p w:rsidR="00CB41C9" w:rsidRPr="00581738" w:rsidRDefault="00CB41C9" w:rsidP="002B7BE5">
            <w:pPr>
              <w:pStyle w:val="NoSpacing"/>
              <w:jc w:val="center"/>
              <w:rPr>
                <w:rFonts w:ascii="Calibri" w:hAnsi="Calibri"/>
                <w:sz w:val="24"/>
                <w:szCs w:val="24"/>
              </w:rPr>
            </w:pPr>
            <w:r w:rsidRPr="00581738">
              <w:rPr>
                <w:rFonts w:ascii="Calibri" w:hAnsi="Calibri"/>
                <w:sz w:val="24"/>
                <w:szCs w:val="24"/>
              </w:rPr>
              <w:t>£2.</w:t>
            </w:r>
            <w:r>
              <w:rPr>
                <w:rFonts w:ascii="Calibri" w:hAnsi="Calibri"/>
                <w:sz w:val="24"/>
                <w:szCs w:val="24"/>
              </w:rPr>
              <w:t>209</w:t>
            </w:r>
          </w:p>
        </w:tc>
      </w:tr>
      <w:tr w:rsidR="00CB41C9" w:rsidTr="002B7BE5">
        <w:tc>
          <w:tcPr>
            <w:tcW w:w="0" w:type="auto"/>
          </w:tcPr>
          <w:p w:rsidR="00CB41C9" w:rsidRPr="00581738" w:rsidRDefault="00CB41C9" w:rsidP="002B7BE5">
            <w:pPr>
              <w:pStyle w:val="NoSpacing"/>
              <w:rPr>
                <w:rFonts w:ascii="Calibri" w:hAnsi="Calibri"/>
                <w:sz w:val="24"/>
                <w:szCs w:val="24"/>
              </w:rPr>
            </w:pPr>
            <w:r w:rsidRPr="00581738">
              <w:rPr>
                <w:rFonts w:ascii="Calibri" w:hAnsi="Calibri"/>
                <w:sz w:val="24"/>
                <w:szCs w:val="24"/>
              </w:rPr>
              <w:t>VAT (20%)</w:t>
            </w:r>
          </w:p>
        </w:tc>
        <w:tc>
          <w:tcPr>
            <w:tcW w:w="0" w:type="auto"/>
          </w:tcPr>
          <w:p w:rsidR="00CB41C9" w:rsidRPr="00581738" w:rsidRDefault="00CB41C9" w:rsidP="002B7BE5">
            <w:pPr>
              <w:pStyle w:val="NoSpacing"/>
              <w:jc w:val="center"/>
              <w:rPr>
                <w:rFonts w:ascii="Calibri" w:hAnsi="Calibri"/>
                <w:sz w:val="24"/>
                <w:szCs w:val="24"/>
              </w:rPr>
            </w:pPr>
            <w:r w:rsidRPr="00581738">
              <w:rPr>
                <w:rFonts w:ascii="Calibri" w:hAnsi="Calibri"/>
                <w:sz w:val="24"/>
                <w:szCs w:val="24"/>
              </w:rPr>
              <w:t>£1.32</w:t>
            </w:r>
          </w:p>
        </w:tc>
        <w:tc>
          <w:tcPr>
            <w:tcW w:w="0" w:type="auto"/>
          </w:tcPr>
          <w:p w:rsidR="00CB41C9" w:rsidRPr="00581738" w:rsidRDefault="00CB41C9" w:rsidP="002B7BE5">
            <w:pPr>
              <w:pStyle w:val="NoSpacing"/>
              <w:jc w:val="center"/>
              <w:rPr>
                <w:rFonts w:ascii="Calibri" w:hAnsi="Calibri"/>
                <w:sz w:val="24"/>
                <w:szCs w:val="24"/>
              </w:rPr>
            </w:pPr>
            <w:r w:rsidRPr="00581738">
              <w:rPr>
                <w:rFonts w:ascii="Calibri" w:hAnsi="Calibri"/>
                <w:sz w:val="24"/>
                <w:szCs w:val="24"/>
              </w:rPr>
              <w:t>£1.60</w:t>
            </w:r>
          </w:p>
        </w:tc>
      </w:tr>
      <w:tr w:rsidR="00CB41C9" w:rsidRPr="00581738" w:rsidTr="002B7BE5">
        <w:tc>
          <w:tcPr>
            <w:tcW w:w="0" w:type="auto"/>
          </w:tcPr>
          <w:p w:rsidR="00CB41C9" w:rsidRPr="00581738" w:rsidRDefault="00CB41C9" w:rsidP="002B7BE5">
            <w:pPr>
              <w:pStyle w:val="NoSpacing"/>
              <w:rPr>
                <w:rFonts w:ascii="Calibri" w:hAnsi="Calibri"/>
                <w:sz w:val="28"/>
                <w:szCs w:val="24"/>
              </w:rPr>
            </w:pPr>
            <w:r w:rsidRPr="00581738">
              <w:rPr>
                <w:rFonts w:ascii="Calibri" w:hAnsi="Calibri"/>
                <w:b/>
                <w:sz w:val="28"/>
                <w:szCs w:val="24"/>
              </w:rPr>
              <w:t>Total NHS Reimbursement</w:t>
            </w:r>
          </w:p>
        </w:tc>
        <w:tc>
          <w:tcPr>
            <w:tcW w:w="0" w:type="auto"/>
          </w:tcPr>
          <w:p w:rsidR="00CB41C9" w:rsidRPr="00581738" w:rsidRDefault="00CB41C9" w:rsidP="002B7BE5">
            <w:pPr>
              <w:pStyle w:val="NoSpacing"/>
              <w:jc w:val="center"/>
              <w:rPr>
                <w:rFonts w:ascii="Calibri" w:hAnsi="Calibri"/>
                <w:b/>
                <w:sz w:val="28"/>
                <w:szCs w:val="24"/>
              </w:rPr>
            </w:pPr>
            <w:r w:rsidRPr="00581738">
              <w:rPr>
                <w:rFonts w:ascii="Calibri" w:hAnsi="Calibri"/>
                <w:b/>
                <w:sz w:val="28"/>
                <w:szCs w:val="24"/>
              </w:rPr>
              <w:t>£10.</w:t>
            </w:r>
            <w:r>
              <w:rPr>
                <w:rFonts w:ascii="Calibri" w:hAnsi="Calibri"/>
                <w:b/>
                <w:sz w:val="28"/>
                <w:szCs w:val="24"/>
              </w:rPr>
              <w:t>12</w:t>
            </w:r>
          </w:p>
        </w:tc>
        <w:tc>
          <w:tcPr>
            <w:tcW w:w="0" w:type="auto"/>
          </w:tcPr>
          <w:p w:rsidR="00CB41C9" w:rsidRPr="00581738" w:rsidRDefault="00CB41C9" w:rsidP="002B7BE5">
            <w:pPr>
              <w:pStyle w:val="NoSpacing"/>
              <w:jc w:val="center"/>
              <w:rPr>
                <w:rFonts w:ascii="Calibri" w:hAnsi="Calibri"/>
                <w:b/>
                <w:sz w:val="28"/>
                <w:szCs w:val="24"/>
              </w:rPr>
            </w:pPr>
            <w:r>
              <w:rPr>
                <w:rFonts w:ascii="Calibri" w:hAnsi="Calibri"/>
                <w:b/>
                <w:sz w:val="28"/>
                <w:szCs w:val="24"/>
              </w:rPr>
              <w:t>£11.81</w:t>
            </w:r>
          </w:p>
        </w:tc>
      </w:tr>
      <w:tr w:rsidR="00CB41C9" w:rsidTr="002B7BE5">
        <w:tc>
          <w:tcPr>
            <w:tcW w:w="0" w:type="auto"/>
          </w:tcPr>
          <w:p w:rsidR="00CB41C9" w:rsidRPr="00581738" w:rsidRDefault="00CB41C9" w:rsidP="002B7BE5">
            <w:pPr>
              <w:pStyle w:val="NoSpacing"/>
              <w:rPr>
                <w:rFonts w:ascii="Calibri" w:hAnsi="Calibri"/>
                <w:sz w:val="24"/>
                <w:szCs w:val="24"/>
              </w:rPr>
            </w:pPr>
            <w:r>
              <w:rPr>
                <w:rFonts w:ascii="Calibri" w:hAnsi="Calibri"/>
                <w:sz w:val="24"/>
                <w:szCs w:val="24"/>
              </w:rPr>
              <w:t>Actual cost after discount</w:t>
            </w:r>
          </w:p>
        </w:tc>
        <w:tc>
          <w:tcPr>
            <w:tcW w:w="0" w:type="auto"/>
          </w:tcPr>
          <w:p w:rsidR="00CB41C9" w:rsidRPr="00581738" w:rsidRDefault="00CB41C9" w:rsidP="00C90D2F">
            <w:pPr>
              <w:pStyle w:val="NoSpacing"/>
              <w:jc w:val="center"/>
              <w:rPr>
                <w:rFonts w:ascii="Calibri" w:hAnsi="Calibri"/>
                <w:sz w:val="24"/>
                <w:szCs w:val="24"/>
              </w:rPr>
            </w:pPr>
            <w:r w:rsidRPr="00581738">
              <w:rPr>
                <w:rFonts w:ascii="Calibri" w:hAnsi="Calibri"/>
                <w:sz w:val="24"/>
                <w:szCs w:val="24"/>
              </w:rPr>
              <w:t>£</w:t>
            </w:r>
            <w:r>
              <w:rPr>
                <w:rFonts w:ascii="Calibri" w:hAnsi="Calibri"/>
                <w:sz w:val="24"/>
                <w:szCs w:val="24"/>
              </w:rPr>
              <w:t>2.</w:t>
            </w:r>
            <w:r w:rsidR="00C90D2F">
              <w:rPr>
                <w:rFonts w:ascii="Calibri" w:hAnsi="Calibri"/>
                <w:sz w:val="24"/>
                <w:szCs w:val="24"/>
              </w:rPr>
              <w:t>85</w:t>
            </w:r>
          </w:p>
        </w:tc>
        <w:tc>
          <w:tcPr>
            <w:tcW w:w="0" w:type="auto"/>
          </w:tcPr>
          <w:p w:rsidR="00CB41C9" w:rsidRPr="00581738" w:rsidRDefault="00CB41C9" w:rsidP="002B7BE5">
            <w:pPr>
              <w:pStyle w:val="NoSpacing"/>
              <w:jc w:val="center"/>
              <w:rPr>
                <w:rFonts w:ascii="Calibri" w:hAnsi="Calibri"/>
                <w:sz w:val="24"/>
                <w:szCs w:val="24"/>
              </w:rPr>
            </w:pPr>
            <w:r w:rsidRPr="00581738">
              <w:rPr>
                <w:rFonts w:ascii="Calibri" w:hAnsi="Calibri"/>
                <w:sz w:val="24"/>
                <w:szCs w:val="24"/>
              </w:rPr>
              <w:t>£4.00</w:t>
            </w:r>
          </w:p>
        </w:tc>
      </w:tr>
      <w:tr w:rsidR="00CB41C9" w:rsidTr="002B7BE5">
        <w:tc>
          <w:tcPr>
            <w:tcW w:w="0" w:type="auto"/>
          </w:tcPr>
          <w:p w:rsidR="00CB41C9" w:rsidRPr="00581738" w:rsidRDefault="00CB41C9" w:rsidP="002B7BE5">
            <w:pPr>
              <w:pStyle w:val="NoSpacing"/>
              <w:rPr>
                <w:rFonts w:ascii="Calibri" w:hAnsi="Calibri"/>
                <w:sz w:val="24"/>
                <w:szCs w:val="24"/>
              </w:rPr>
            </w:pPr>
            <w:r w:rsidRPr="00581738">
              <w:rPr>
                <w:rFonts w:ascii="Calibri" w:hAnsi="Calibri"/>
                <w:sz w:val="24"/>
                <w:szCs w:val="24"/>
              </w:rPr>
              <w:t>VAT (20%)</w:t>
            </w:r>
          </w:p>
        </w:tc>
        <w:tc>
          <w:tcPr>
            <w:tcW w:w="0" w:type="auto"/>
          </w:tcPr>
          <w:p w:rsidR="00CB41C9" w:rsidRPr="00043638" w:rsidRDefault="00C90D2F" w:rsidP="002B7BE5">
            <w:pPr>
              <w:tabs>
                <w:tab w:val="left" w:pos="1095"/>
              </w:tabs>
              <w:autoSpaceDE w:val="0"/>
              <w:autoSpaceDN w:val="0"/>
              <w:adjustRightInd w:val="0"/>
              <w:ind w:left="-100"/>
              <w:jc w:val="center"/>
              <w:rPr>
                <w:rFonts w:ascii="Calibri" w:hAnsi="Calibri" w:cs="Calibri"/>
                <w:color w:val="000000"/>
                <w:sz w:val="24"/>
                <w:szCs w:val="24"/>
              </w:rPr>
            </w:pPr>
            <w:r>
              <w:rPr>
                <w:rFonts w:ascii="Calibri" w:hAnsi="Calibri" w:cs="Calibri"/>
                <w:color w:val="000000"/>
                <w:sz w:val="24"/>
                <w:szCs w:val="24"/>
              </w:rPr>
              <w:t>£0.57</w:t>
            </w:r>
          </w:p>
        </w:tc>
        <w:tc>
          <w:tcPr>
            <w:tcW w:w="0" w:type="auto"/>
          </w:tcPr>
          <w:p w:rsidR="00CB41C9" w:rsidRPr="00581738" w:rsidRDefault="00CB41C9" w:rsidP="002B7BE5">
            <w:pPr>
              <w:pStyle w:val="NoSpacing"/>
              <w:jc w:val="center"/>
              <w:rPr>
                <w:rFonts w:ascii="Calibri" w:hAnsi="Calibri"/>
                <w:sz w:val="24"/>
                <w:szCs w:val="24"/>
              </w:rPr>
            </w:pPr>
            <w:r w:rsidRPr="00581738">
              <w:rPr>
                <w:rFonts w:ascii="Calibri" w:hAnsi="Calibri"/>
                <w:sz w:val="24"/>
                <w:szCs w:val="24"/>
              </w:rPr>
              <w:t>£0.80</w:t>
            </w:r>
          </w:p>
        </w:tc>
      </w:tr>
      <w:tr w:rsidR="00CB41C9" w:rsidTr="002B7BE5">
        <w:tc>
          <w:tcPr>
            <w:tcW w:w="0" w:type="auto"/>
          </w:tcPr>
          <w:p w:rsidR="00CB41C9" w:rsidRPr="00581738" w:rsidRDefault="00CB41C9" w:rsidP="002B7BE5">
            <w:pPr>
              <w:pStyle w:val="NoSpacing"/>
              <w:rPr>
                <w:rFonts w:ascii="Calibri" w:hAnsi="Calibri"/>
                <w:sz w:val="24"/>
                <w:szCs w:val="24"/>
              </w:rPr>
            </w:pPr>
            <w:r w:rsidRPr="00581738">
              <w:rPr>
                <w:rFonts w:ascii="Calibri" w:hAnsi="Calibri"/>
                <w:sz w:val="24"/>
                <w:szCs w:val="24"/>
              </w:rPr>
              <w:t>Total cost to practice</w:t>
            </w:r>
          </w:p>
        </w:tc>
        <w:tc>
          <w:tcPr>
            <w:tcW w:w="0" w:type="auto"/>
          </w:tcPr>
          <w:p w:rsidR="00CB41C9" w:rsidRPr="00043638" w:rsidRDefault="00C90D2F" w:rsidP="002B7BE5">
            <w:pPr>
              <w:autoSpaceDE w:val="0"/>
              <w:autoSpaceDN w:val="0"/>
              <w:adjustRightInd w:val="0"/>
              <w:ind w:left="-100"/>
              <w:jc w:val="center"/>
              <w:rPr>
                <w:rFonts w:ascii="Calibri" w:hAnsi="Calibri" w:cs="Calibri"/>
                <w:color w:val="000000"/>
                <w:sz w:val="24"/>
                <w:szCs w:val="24"/>
              </w:rPr>
            </w:pPr>
            <w:r>
              <w:rPr>
                <w:rFonts w:ascii="Calibri" w:hAnsi="Calibri" w:cs="Calibri"/>
                <w:color w:val="000000"/>
                <w:sz w:val="24"/>
                <w:szCs w:val="24"/>
              </w:rPr>
              <w:t>£3.</w:t>
            </w:r>
            <w:r w:rsidR="00AA73E5">
              <w:rPr>
                <w:rFonts w:ascii="Calibri" w:hAnsi="Calibri" w:cs="Calibri"/>
                <w:color w:val="000000"/>
                <w:sz w:val="24"/>
                <w:szCs w:val="24"/>
              </w:rPr>
              <w:t>42</w:t>
            </w:r>
          </w:p>
        </w:tc>
        <w:tc>
          <w:tcPr>
            <w:tcW w:w="0" w:type="auto"/>
          </w:tcPr>
          <w:p w:rsidR="00CB41C9" w:rsidRPr="00581738" w:rsidRDefault="00CB41C9" w:rsidP="002B7BE5">
            <w:pPr>
              <w:pStyle w:val="NoSpacing"/>
              <w:jc w:val="center"/>
              <w:rPr>
                <w:rFonts w:ascii="Calibri" w:hAnsi="Calibri"/>
                <w:sz w:val="24"/>
                <w:szCs w:val="24"/>
              </w:rPr>
            </w:pPr>
            <w:r w:rsidRPr="00581738">
              <w:rPr>
                <w:rFonts w:ascii="Calibri" w:hAnsi="Calibri"/>
                <w:sz w:val="24"/>
                <w:szCs w:val="24"/>
              </w:rPr>
              <w:t>£4.80</w:t>
            </w:r>
          </w:p>
        </w:tc>
      </w:tr>
      <w:tr w:rsidR="00CB41C9" w:rsidRPr="00581738" w:rsidTr="002B7BE5">
        <w:tc>
          <w:tcPr>
            <w:tcW w:w="0" w:type="auto"/>
          </w:tcPr>
          <w:p w:rsidR="00CB41C9" w:rsidRPr="00581738" w:rsidRDefault="00CB41C9" w:rsidP="002B7BE5">
            <w:pPr>
              <w:pStyle w:val="NoSpacing"/>
              <w:rPr>
                <w:rFonts w:ascii="Calibri" w:hAnsi="Calibri"/>
                <w:sz w:val="28"/>
                <w:szCs w:val="24"/>
              </w:rPr>
            </w:pPr>
            <w:r w:rsidRPr="00581738">
              <w:rPr>
                <w:rFonts w:ascii="Calibri" w:hAnsi="Calibri"/>
                <w:b/>
                <w:sz w:val="28"/>
                <w:szCs w:val="24"/>
              </w:rPr>
              <w:t>Total Profit Per Dose (PPD)</w:t>
            </w:r>
          </w:p>
        </w:tc>
        <w:tc>
          <w:tcPr>
            <w:tcW w:w="0" w:type="auto"/>
          </w:tcPr>
          <w:p w:rsidR="00CB41C9" w:rsidRPr="00043638" w:rsidRDefault="00CB41C9" w:rsidP="002B7BE5">
            <w:pPr>
              <w:autoSpaceDE w:val="0"/>
              <w:autoSpaceDN w:val="0"/>
              <w:adjustRightInd w:val="0"/>
              <w:ind w:left="-100"/>
              <w:jc w:val="center"/>
              <w:rPr>
                <w:rFonts w:ascii="Calibri" w:hAnsi="Calibri" w:cs="Calibri"/>
                <w:b/>
                <w:color w:val="000000"/>
                <w:sz w:val="28"/>
                <w:szCs w:val="24"/>
              </w:rPr>
            </w:pPr>
            <w:r w:rsidRPr="00043638">
              <w:rPr>
                <w:rFonts w:ascii="Calibri" w:hAnsi="Calibri" w:cs="Calibri"/>
                <w:b/>
                <w:color w:val="000000"/>
                <w:sz w:val="28"/>
                <w:szCs w:val="24"/>
              </w:rPr>
              <w:t>£</w:t>
            </w:r>
            <w:r w:rsidR="00C90D2F">
              <w:rPr>
                <w:rFonts w:ascii="Calibri" w:hAnsi="Calibri" w:cs="Calibri"/>
                <w:b/>
                <w:color w:val="000000"/>
                <w:sz w:val="28"/>
                <w:szCs w:val="24"/>
              </w:rPr>
              <w:t>6.</w:t>
            </w:r>
            <w:r w:rsidR="00AA73E5">
              <w:rPr>
                <w:rFonts w:ascii="Calibri" w:hAnsi="Calibri" w:cs="Calibri"/>
                <w:b/>
                <w:color w:val="000000"/>
                <w:sz w:val="28"/>
                <w:szCs w:val="24"/>
              </w:rPr>
              <w:t>70</w:t>
            </w:r>
          </w:p>
        </w:tc>
        <w:tc>
          <w:tcPr>
            <w:tcW w:w="0" w:type="auto"/>
          </w:tcPr>
          <w:p w:rsidR="00CB41C9" w:rsidRPr="00581738" w:rsidRDefault="00CB41C9" w:rsidP="002B7BE5">
            <w:pPr>
              <w:pStyle w:val="NoSpacing"/>
              <w:jc w:val="center"/>
              <w:rPr>
                <w:rFonts w:ascii="Calibri" w:hAnsi="Calibri"/>
                <w:b/>
                <w:sz w:val="28"/>
                <w:szCs w:val="24"/>
              </w:rPr>
            </w:pPr>
            <w:r w:rsidRPr="00581738">
              <w:rPr>
                <w:rFonts w:ascii="Calibri" w:hAnsi="Calibri"/>
                <w:b/>
                <w:sz w:val="28"/>
                <w:szCs w:val="24"/>
              </w:rPr>
              <w:t>£</w:t>
            </w:r>
            <w:r>
              <w:rPr>
                <w:rFonts w:ascii="Calibri" w:hAnsi="Calibri"/>
                <w:b/>
                <w:sz w:val="28"/>
                <w:szCs w:val="24"/>
              </w:rPr>
              <w:t>7.01</w:t>
            </w:r>
          </w:p>
        </w:tc>
      </w:tr>
    </w:tbl>
    <w:p w:rsidR="00CB41C9" w:rsidRDefault="00CB41C9" w:rsidP="00CB41C9">
      <w:pPr>
        <w:pStyle w:val="NoSpacing"/>
        <w:rPr>
          <w:rFonts w:ascii="Calibri" w:hAnsi="Calibri"/>
          <w:sz w:val="20"/>
        </w:rPr>
      </w:pPr>
    </w:p>
    <w:p w:rsidR="00CB41C9" w:rsidRPr="00444583" w:rsidRDefault="00CB41C9" w:rsidP="00CB41C9">
      <w:pPr>
        <w:pStyle w:val="NoSpacing"/>
        <w:rPr>
          <w:rFonts w:ascii="Calibri" w:hAnsi="Calibri"/>
          <w:sz w:val="20"/>
        </w:rPr>
      </w:pPr>
      <w:r w:rsidRPr="00444583">
        <w:rPr>
          <w:rFonts w:ascii="Calibri" w:hAnsi="Calibri"/>
          <w:sz w:val="20"/>
        </w:rPr>
        <w:t>+ The company offers a portfolio of seasonal flu vaccines from different manufacturers</w:t>
      </w:r>
      <w:r>
        <w:rPr>
          <w:rFonts w:ascii="Calibri" w:hAnsi="Calibri"/>
          <w:sz w:val="20"/>
        </w:rPr>
        <w:t xml:space="preserve"> including a quadrivalent vaccine</w:t>
      </w:r>
      <w:r w:rsidRPr="00444583">
        <w:rPr>
          <w:rFonts w:ascii="Calibri" w:hAnsi="Calibri"/>
          <w:sz w:val="20"/>
        </w:rPr>
        <w:t xml:space="preserve">. Customers can order just one brand of vaccine or can split their order across MASTA’s portfolio of vaccines. </w:t>
      </w:r>
    </w:p>
    <w:p w:rsidR="00CB41C9" w:rsidRPr="00032990" w:rsidRDefault="00CB41C9" w:rsidP="00CB41C9">
      <w:pPr>
        <w:autoSpaceDE w:val="0"/>
        <w:autoSpaceDN w:val="0"/>
        <w:adjustRightInd w:val="0"/>
        <w:spacing w:after="0" w:line="240" w:lineRule="auto"/>
        <w:rPr>
          <w:rFonts w:ascii="Calibri" w:hAnsi="Calibri" w:cs="Calibri"/>
          <w:color w:val="000000"/>
          <w:sz w:val="24"/>
          <w:szCs w:val="24"/>
        </w:rPr>
      </w:pPr>
      <w:r w:rsidRPr="00032990">
        <w:rPr>
          <w:rFonts w:eastAsia="Times New Roman" w:cs="Times New Roman"/>
          <w:sz w:val="20"/>
        </w:rPr>
        <w:t>* The dispensing fee illustrated is for guidance purposes only and is based on a non-dispensing practice dispensing up to 4</w:t>
      </w:r>
      <w:r>
        <w:rPr>
          <w:rFonts w:eastAsia="Times New Roman" w:cs="Times New Roman"/>
          <w:sz w:val="20"/>
        </w:rPr>
        <w:t>57</w:t>
      </w:r>
      <w:r w:rsidRPr="00032990">
        <w:rPr>
          <w:rFonts w:eastAsia="Times New Roman" w:cs="Times New Roman"/>
          <w:sz w:val="20"/>
        </w:rPr>
        <w:t xml:space="preserve"> items a month under rules applying from 1 </w:t>
      </w:r>
      <w:r>
        <w:rPr>
          <w:rFonts w:eastAsia="Times New Roman" w:cs="Times New Roman"/>
          <w:sz w:val="20"/>
        </w:rPr>
        <w:t>October</w:t>
      </w:r>
      <w:r w:rsidRPr="00032990">
        <w:rPr>
          <w:rFonts w:eastAsia="Times New Roman" w:cs="Times New Roman"/>
          <w:sz w:val="20"/>
        </w:rPr>
        <w:t xml:space="preserve"> 201</w:t>
      </w:r>
      <w:r>
        <w:rPr>
          <w:rFonts w:eastAsia="Times New Roman" w:cs="Times New Roman"/>
          <w:sz w:val="20"/>
        </w:rPr>
        <w:t>7</w:t>
      </w:r>
      <w:r w:rsidRPr="00032990">
        <w:rPr>
          <w:rFonts w:eastAsia="Times New Roman" w:cs="Times New Roman"/>
          <w:sz w:val="20"/>
        </w:rPr>
        <w:t xml:space="preserve"> (see separate table).</w:t>
      </w:r>
    </w:p>
    <w:p w:rsidR="00CB41C9" w:rsidRDefault="00CB41C9" w:rsidP="00CB41C9">
      <w:pPr>
        <w:pStyle w:val="NoSpacing"/>
      </w:pPr>
    </w:p>
    <w:p w:rsidR="00CB41C9" w:rsidRPr="00CB41C9" w:rsidRDefault="00CB41C9" w:rsidP="00CB41C9">
      <w:pPr>
        <w:pStyle w:val="NoSpacing"/>
        <w:rPr>
          <w:sz w:val="24"/>
          <w:szCs w:val="24"/>
        </w:rPr>
      </w:pPr>
      <w:r w:rsidRPr="00CB41C9">
        <w:rPr>
          <w:sz w:val="24"/>
          <w:szCs w:val="24"/>
        </w:rPr>
        <w:t xml:space="preserve">MASTA’s offer also includes: </w:t>
      </w:r>
    </w:p>
    <w:p w:rsidR="00CB41C9" w:rsidRPr="00CB41C9" w:rsidRDefault="00CB41C9" w:rsidP="00CB41C9">
      <w:pPr>
        <w:pStyle w:val="NoSpacing"/>
        <w:rPr>
          <w:sz w:val="24"/>
          <w:szCs w:val="24"/>
        </w:rPr>
      </w:pPr>
    </w:p>
    <w:p w:rsidR="00CB41C9" w:rsidRDefault="00CB41C9" w:rsidP="000B048B">
      <w:pPr>
        <w:pStyle w:val="NoSpacing"/>
        <w:numPr>
          <w:ilvl w:val="0"/>
          <w:numId w:val="4"/>
        </w:numPr>
        <w:rPr>
          <w:sz w:val="24"/>
          <w:szCs w:val="24"/>
        </w:rPr>
      </w:pPr>
      <w:r w:rsidRPr="000B048B">
        <w:rPr>
          <w:sz w:val="24"/>
          <w:szCs w:val="24"/>
        </w:rPr>
        <w:t>Portfolio of vaccines to protect against unforeseen manufacturing/supply issues.</w:t>
      </w:r>
    </w:p>
    <w:p w:rsidR="000B048B" w:rsidRPr="000B048B" w:rsidRDefault="000B048B" w:rsidP="000B048B">
      <w:pPr>
        <w:pStyle w:val="NoSpacing"/>
        <w:numPr>
          <w:ilvl w:val="0"/>
          <w:numId w:val="4"/>
        </w:numPr>
        <w:rPr>
          <w:sz w:val="24"/>
          <w:szCs w:val="24"/>
        </w:rPr>
      </w:pPr>
      <w:bookmarkStart w:id="2" w:name="_Hlk496641718"/>
      <w:r>
        <w:rPr>
          <w:sz w:val="24"/>
          <w:szCs w:val="24"/>
        </w:rPr>
        <w:t>The quadrivalent vaccine is suitable for 3+ years; the trivalent vaccine is suitable for 6 months plus.</w:t>
      </w:r>
    </w:p>
    <w:bookmarkEnd w:id="2"/>
    <w:p w:rsidR="00CB41C9" w:rsidRPr="00CB41C9" w:rsidRDefault="00CB41C9" w:rsidP="00CB41C9">
      <w:pPr>
        <w:pStyle w:val="NoSpacing"/>
        <w:numPr>
          <w:ilvl w:val="0"/>
          <w:numId w:val="4"/>
        </w:numPr>
        <w:rPr>
          <w:sz w:val="24"/>
          <w:szCs w:val="24"/>
        </w:rPr>
      </w:pPr>
      <w:r w:rsidRPr="00CB41C9">
        <w:rPr>
          <w:sz w:val="24"/>
          <w:szCs w:val="24"/>
        </w:rPr>
        <w:t>20% sale or return facility on contract order volumes placed with MASTA. (Returns must be back with MASTA by the 22 February 2019 to be eligible for credit).</w:t>
      </w:r>
    </w:p>
    <w:p w:rsidR="00CB41C9" w:rsidRPr="00CB41C9" w:rsidRDefault="00CB41C9" w:rsidP="00CB41C9">
      <w:pPr>
        <w:pStyle w:val="NoSpacing"/>
        <w:numPr>
          <w:ilvl w:val="0"/>
          <w:numId w:val="4"/>
        </w:numPr>
        <w:rPr>
          <w:sz w:val="24"/>
          <w:szCs w:val="24"/>
        </w:rPr>
      </w:pPr>
      <w:r w:rsidRPr="00CB41C9">
        <w:rPr>
          <w:sz w:val="24"/>
          <w:szCs w:val="24"/>
        </w:rPr>
        <w:t>Deliveries available from w/c 10 September 2018 or earlier if stock is released to market prior to this date. Delivery dates will be scheduled in line with orders placed.</w:t>
      </w:r>
    </w:p>
    <w:p w:rsidR="00CB41C9" w:rsidRPr="00CB41C9" w:rsidRDefault="00CB41C9" w:rsidP="00CB41C9">
      <w:pPr>
        <w:pStyle w:val="NoSpacing"/>
        <w:numPr>
          <w:ilvl w:val="0"/>
          <w:numId w:val="4"/>
        </w:numPr>
        <w:rPr>
          <w:sz w:val="24"/>
          <w:szCs w:val="24"/>
        </w:rPr>
      </w:pPr>
      <w:r w:rsidRPr="00CB41C9">
        <w:rPr>
          <w:sz w:val="24"/>
          <w:szCs w:val="24"/>
        </w:rPr>
        <w:t xml:space="preserve">Named day cold chain deliveries to as many sites as required. </w:t>
      </w:r>
    </w:p>
    <w:p w:rsidR="00CB41C9" w:rsidRPr="00CB41C9" w:rsidRDefault="00CB41C9" w:rsidP="00CB41C9">
      <w:pPr>
        <w:pStyle w:val="NoSpacing"/>
        <w:numPr>
          <w:ilvl w:val="0"/>
          <w:numId w:val="4"/>
        </w:numPr>
        <w:rPr>
          <w:sz w:val="24"/>
          <w:szCs w:val="24"/>
        </w:rPr>
      </w:pPr>
      <w:r w:rsidRPr="00CB41C9">
        <w:rPr>
          <w:sz w:val="24"/>
          <w:szCs w:val="24"/>
        </w:rPr>
        <w:t xml:space="preserve">120 days payment terms from the date of each invoice.     </w:t>
      </w:r>
    </w:p>
    <w:p w:rsidR="00CB41C9" w:rsidRPr="00CB41C9" w:rsidRDefault="00CB41C9" w:rsidP="00CB41C9">
      <w:pPr>
        <w:pStyle w:val="NoSpacing"/>
        <w:numPr>
          <w:ilvl w:val="0"/>
          <w:numId w:val="4"/>
        </w:numPr>
        <w:rPr>
          <w:sz w:val="24"/>
          <w:szCs w:val="24"/>
        </w:rPr>
      </w:pPr>
      <w:r w:rsidRPr="00CB41C9">
        <w:rPr>
          <w:sz w:val="24"/>
          <w:szCs w:val="24"/>
        </w:rPr>
        <w:t xml:space="preserve">Free of charge campaign support materials available to order online. </w:t>
      </w:r>
    </w:p>
    <w:p w:rsidR="00CB41C9" w:rsidRPr="00CB41C9" w:rsidRDefault="00CB41C9" w:rsidP="00CB41C9">
      <w:pPr>
        <w:pStyle w:val="NoSpacing"/>
        <w:numPr>
          <w:ilvl w:val="0"/>
          <w:numId w:val="4"/>
        </w:numPr>
        <w:rPr>
          <w:sz w:val="24"/>
          <w:szCs w:val="24"/>
        </w:rPr>
      </w:pPr>
      <w:r w:rsidRPr="00CB41C9">
        <w:rPr>
          <w:sz w:val="24"/>
          <w:szCs w:val="24"/>
        </w:rPr>
        <w:t>The flexibility to reduce or cancel last deliveries to assist with stock management if the vaccination uptake is lower than expected.</w:t>
      </w:r>
    </w:p>
    <w:p w:rsidR="00CB41C9" w:rsidRPr="00CB41C9" w:rsidRDefault="00CB41C9" w:rsidP="00CB41C9">
      <w:pPr>
        <w:pStyle w:val="NoSpacing"/>
        <w:numPr>
          <w:ilvl w:val="0"/>
          <w:numId w:val="4"/>
        </w:numPr>
        <w:rPr>
          <w:sz w:val="24"/>
          <w:szCs w:val="24"/>
        </w:rPr>
      </w:pPr>
      <w:r w:rsidRPr="00CB41C9">
        <w:rPr>
          <w:sz w:val="24"/>
          <w:szCs w:val="24"/>
        </w:rPr>
        <w:t xml:space="preserve">Reserve doses can be placed, up to 10% of the contract order volume. This will be held until 31 October 2018 after which it will be released to the market. </w:t>
      </w:r>
    </w:p>
    <w:p w:rsidR="00CB41C9" w:rsidRPr="00CB41C9" w:rsidRDefault="00CB41C9" w:rsidP="00CB41C9">
      <w:pPr>
        <w:pStyle w:val="NoSpacing"/>
        <w:numPr>
          <w:ilvl w:val="0"/>
          <w:numId w:val="4"/>
        </w:numPr>
        <w:rPr>
          <w:sz w:val="24"/>
          <w:szCs w:val="24"/>
        </w:rPr>
      </w:pPr>
      <w:r w:rsidRPr="00CB41C9">
        <w:rPr>
          <w:sz w:val="24"/>
          <w:szCs w:val="24"/>
        </w:rPr>
        <w:t>Orders placed with MASTA can be cancelled up to 31 March 2018.</w:t>
      </w:r>
    </w:p>
    <w:p w:rsidR="00CB41C9" w:rsidRPr="00CB41C9" w:rsidRDefault="00CB41C9" w:rsidP="00CB41C9">
      <w:pPr>
        <w:pStyle w:val="NoSpacing"/>
        <w:numPr>
          <w:ilvl w:val="0"/>
          <w:numId w:val="4"/>
        </w:numPr>
        <w:rPr>
          <w:sz w:val="24"/>
          <w:szCs w:val="24"/>
        </w:rPr>
      </w:pPr>
      <w:r w:rsidRPr="00CB41C9">
        <w:rPr>
          <w:sz w:val="24"/>
          <w:szCs w:val="24"/>
        </w:rPr>
        <w:t xml:space="preserve">Order volumes can be amended up to 31 July 2018.     </w:t>
      </w:r>
    </w:p>
    <w:p w:rsidR="00CB41C9" w:rsidRPr="00CB41C9" w:rsidRDefault="00CB41C9" w:rsidP="00CB41C9">
      <w:pPr>
        <w:pStyle w:val="NoSpacing"/>
        <w:numPr>
          <w:ilvl w:val="0"/>
          <w:numId w:val="4"/>
        </w:numPr>
        <w:rPr>
          <w:sz w:val="24"/>
          <w:szCs w:val="24"/>
        </w:rPr>
      </w:pPr>
      <w:r w:rsidRPr="00CB41C9">
        <w:rPr>
          <w:sz w:val="24"/>
          <w:szCs w:val="24"/>
        </w:rPr>
        <w:t>During the campaign delivery dates and volumes can be amended with just 72 hours’ notice to MASTA.</w:t>
      </w:r>
    </w:p>
    <w:p w:rsidR="00CB41C9" w:rsidRPr="00CB41C9" w:rsidRDefault="00CB41C9" w:rsidP="00CB41C9">
      <w:pPr>
        <w:pStyle w:val="NoSpacing"/>
        <w:numPr>
          <w:ilvl w:val="0"/>
          <w:numId w:val="4"/>
        </w:numPr>
        <w:rPr>
          <w:sz w:val="24"/>
          <w:szCs w:val="24"/>
        </w:rPr>
      </w:pPr>
      <w:r w:rsidRPr="00CB41C9">
        <w:rPr>
          <w:sz w:val="24"/>
          <w:szCs w:val="24"/>
        </w:rPr>
        <w:t xml:space="preserve">50 doses and above are delivered carriage free within the couriers’ designated postcode areas. </w:t>
      </w:r>
    </w:p>
    <w:p w:rsidR="00CB41C9" w:rsidRPr="00253888" w:rsidRDefault="00CB41C9" w:rsidP="00CB41C9">
      <w:pPr>
        <w:pStyle w:val="NoSpacing"/>
      </w:pPr>
    </w:p>
    <w:p w:rsidR="00CB41C9" w:rsidRDefault="00CB41C9" w:rsidP="00CB41C9">
      <w:pPr>
        <w:rPr>
          <w:rFonts w:cstheme="minorHAnsi"/>
          <w:b/>
          <w:sz w:val="28"/>
        </w:rPr>
      </w:pPr>
      <w:r w:rsidRPr="00F94372">
        <w:rPr>
          <w:rFonts w:cstheme="minorHAnsi"/>
          <w:b/>
          <w:sz w:val="28"/>
        </w:rPr>
        <w:t xml:space="preserve">Contact </w:t>
      </w:r>
      <w:r w:rsidR="00E07671">
        <w:rPr>
          <w:rFonts w:cstheme="minorHAnsi"/>
          <w:b/>
          <w:sz w:val="28"/>
        </w:rPr>
        <w:t>MASTA</w:t>
      </w:r>
    </w:p>
    <w:p w:rsidR="00CB41C9" w:rsidRDefault="00CB41C9" w:rsidP="00CB41C9">
      <w:pPr>
        <w:pStyle w:val="NoSpacing"/>
        <w:rPr>
          <w:rStyle w:val="Hyperlink"/>
          <w:rFonts w:cstheme="minorHAnsi"/>
          <w:sz w:val="24"/>
          <w:szCs w:val="24"/>
        </w:rPr>
      </w:pPr>
      <w:r w:rsidRPr="00CB41C9">
        <w:rPr>
          <w:sz w:val="24"/>
          <w:szCs w:val="24"/>
        </w:rPr>
        <w:t xml:space="preserve">Tel: 0113 238 7552; Email: </w:t>
      </w:r>
      <w:hyperlink r:id="rId10" w:history="1">
        <w:r w:rsidRPr="00CB41C9">
          <w:rPr>
            <w:rStyle w:val="Hyperlink"/>
            <w:rFonts w:cstheme="minorHAnsi"/>
            <w:sz w:val="24"/>
            <w:szCs w:val="24"/>
          </w:rPr>
          <w:t>fluteam@masta.org</w:t>
        </w:r>
      </w:hyperlink>
    </w:p>
    <w:p w:rsidR="00750112" w:rsidRDefault="00750112" w:rsidP="00CB41C9">
      <w:pPr>
        <w:pStyle w:val="NoSpacing"/>
        <w:rPr>
          <w:rStyle w:val="Hyperlink"/>
          <w:rFonts w:cstheme="minorHAnsi"/>
          <w:sz w:val="24"/>
          <w:szCs w:val="24"/>
        </w:rPr>
      </w:pPr>
    </w:p>
    <w:p w:rsidR="00750112" w:rsidRPr="00750112" w:rsidRDefault="00750112" w:rsidP="00750112">
      <w:pPr>
        <w:pStyle w:val="NoSpacing"/>
        <w:jc w:val="center"/>
        <w:rPr>
          <w:b/>
          <w:sz w:val="32"/>
          <w:szCs w:val="28"/>
        </w:rPr>
      </w:pPr>
      <w:r w:rsidRPr="00750112">
        <w:rPr>
          <w:b/>
          <w:sz w:val="32"/>
          <w:szCs w:val="28"/>
        </w:rPr>
        <w:lastRenderedPageBreak/>
        <w:t>Dispensing payments</w:t>
      </w:r>
    </w:p>
    <w:p w:rsidR="00750112" w:rsidRPr="00750112" w:rsidRDefault="00750112" w:rsidP="00750112">
      <w:pPr>
        <w:pStyle w:val="NoSpacing"/>
        <w:jc w:val="center"/>
        <w:rPr>
          <w:b/>
          <w:sz w:val="32"/>
          <w:szCs w:val="28"/>
        </w:rPr>
      </w:pPr>
      <w:r w:rsidRPr="00750112">
        <w:rPr>
          <w:b/>
          <w:sz w:val="32"/>
          <w:szCs w:val="28"/>
        </w:rPr>
        <w:t>Proposed Discount scale (from October 2017)</w:t>
      </w:r>
    </w:p>
    <w:p w:rsidR="00750112" w:rsidRDefault="00750112" w:rsidP="00750112">
      <w:pPr>
        <w:pStyle w:val="NoSpacing"/>
        <w:rPr>
          <w:rFonts w:cstheme="minorHAnsi"/>
          <w:i/>
          <w:color w:val="000000"/>
          <w:sz w:val="24"/>
        </w:rPr>
      </w:pPr>
    </w:p>
    <w:p w:rsidR="00750112" w:rsidRPr="00750112" w:rsidRDefault="00750112" w:rsidP="00750112">
      <w:pPr>
        <w:pStyle w:val="NoSpacing"/>
        <w:rPr>
          <w:rFonts w:cstheme="minorHAnsi"/>
          <w:i/>
          <w:color w:val="000000"/>
          <w:sz w:val="24"/>
        </w:rPr>
      </w:pPr>
      <w:r w:rsidRPr="00750112">
        <w:rPr>
          <w:rFonts w:cstheme="minorHAnsi"/>
          <w:i/>
          <w:color w:val="000000"/>
          <w:sz w:val="24"/>
        </w:rPr>
        <w:t xml:space="preserve">Table 1: Dispensing Feescale for Contractors that are authorised or required to provide dispensing services </w:t>
      </w:r>
    </w:p>
    <w:p w:rsidR="00750112" w:rsidRPr="003229AF" w:rsidRDefault="00750112" w:rsidP="00750112">
      <w:pPr>
        <w:pStyle w:val="NoSpacing"/>
      </w:pP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460"/>
        <w:gridCol w:w="2431"/>
      </w:tblGrid>
      <w:tr w:rsidR="00750112" w:rsidRPr="004F2CB2" w:rsidTr="00750112">
        <w:trPr>
          <w:trHeight w:val="737"/>
        </w:trPr>
        <w:tc>
          <w:tcPr>
            <w:tcW w:w="4460" w:type="dxa"/>
            <w:tcBorders>
              <w:top w:val="single" w:sz="8" w:space="0" w:color="000000"/>
              <w:left w:val="single" w:sz="8" w:space="0" w:color="000000"/>
              <w:bottom w:val="single" w:sz="8" w:space="0" w:color="000000"/>
              <w:right w:val="single" w:sz="8" w:space="0" w:color="000000"/>
            </w:tcBorders>
          </w:tcPr>
          <w:p w:rsidR="00750112" w:rsidRPr="004F2CB2" w:rsidRDefault="00750112" w:rsidP="00750112">
            <w:pPr>
              <w:pStyle w:val="NoSpacing"/>
              <w:rPr>
                <w:rFonts w:cstheme="minorHAnsi"/>
                <w:color w:val="000000"/>
              </w:rPr>
            </w:pPr>
            <w:r w:rsidRPr="003229AF">
              <w:rPr>
                <w:rFonts w:cstheme="minorHAnsi"/>
                <w:color w:val="000000"/>
                <w:sz w:val="24"/>
              </w:rPr>
              <w:t xml:space="preserve">Total prescriptions calculated separately for each individual dispensing practitioner, in bands </w:t>
            </w:r>
          </w:p>
        </w:tc>
        <w:tc>
          <w:tcPr>
            <w:tcW w:w="2431" w:type="dxa"/>
            <w:tcBorders>
              <w:top w:val="single" w:sz="8" w:space="0" w:color="000000"/>
              <w:left w:val="single" w:sz="6" w:space="0" w:color="000000"/>
              <w:bottom w:val="single" w:sz="8" w:space="0" w:color="000000"/>
              <w:right w:val="single" w:sz="8" w:space="0" w:color="000000"/>
            </w:tcBorders>
          </w:tcPr>
          <w:p w:rsidR="00750112" w:rsidRPr="004F2CB2" w:rsidRDefault="00750112" w:rsidP="00750112">
            <w:pPr>
              <w:pStyle w:val="NoSpacing"/>
              <w:rPr>
                <w:rFonts w:cstheme="minorHAnsi"/>
                <w:color w:val="000000"/>
              </w:rPr>
            </w:pPr>
            <w:r w:rsidRPr="003229AF">
              <w:rPr>
                <w:rFonts w:cstheme="minorHAnsi"/>
                <w:color w:val="000000"/>
                <w:sz w:val="24"/>
              </w:rPr>
              <w:t xml:space="preserve">Prices per prescription in pence </w:t>
            </w:r>
          </w:p>
        </w:tc>
      </w:tr>
      <w:tr w:rsidR="00750112" w:rsidRPr="00F872CC" w:rsidTr="00750112">
        <w:trPr>
          <w:trHeight w:val="266"/>
        </w:trPr>
        <w:tc>
          <w:tcPr>
            <w:tcW w:w="4460" w:type="dxa"/>
            <w:tcBorders>
              <w:top w:val="single" w:sz="6" w:space="0" w:color="000000"/>
              <w:left w:val="single" w:sz="8" w:space="0" w:color="000000"/>
              <w:bottom w:val="single" w:sz="8" w:space="0" w:color="000000"/>
              <w:right w:val="single" w:sz="8" w:space="0" w:color="000000"/>
            </w:tcBorders>
          </w:tcPr>
          <w:p w:rsidR="00750112" w:rsidRPr="0039128A" w:rsidRDefault="00750112" w:rsidP="00750112">
            <w:pPr>
              <w:pStyle w:val="NoSpacing"/>
              <w:rPr>
                <w:sz w:val="24"/>
              </w:rPr>
            </w:pPr>
            <w:r w:rsidRPr="0039128A">
              <w:rPr>
                <w:sz w:val="24"/>
              </w:rPr>
              <w:t>Up to 457</w:t>
            </w:r>
          </w:p>
        </w:tc>
        <w:tc>
          <w:tcPr>
            <w:tcW w:w="2431" w:type="dxa"/>
            <w:tcBorders>
              <w:top w:val="single" w:sz="6" w:space="0" w:color="000000"/>
              <w:left w:val="single" w:sz="6" w:space="0" w:color="000000"/>
              <w:bottom w:val="single" w:sz="8" w:space="0" w:color="000000"/>
              <w:right w:val="single" w:sz="8" w:space="0" w:color="000000"/>
            </w:tcBorders>
          </w:tcPr>
          <w:p w:rsidR="00750112" w:rsidRPr="0039128A" w:rsidRDefault="00750112" w:rsidP="00750112">
            <w:pPr>
              <w:pStyle w:val="NoSpacing"/>
              <w:rPr>
                <w:sz w:val="24"/>
              </w:rPr>
            </w:pPr>
            <w:r w:rsidRPr="0039128A">
              <w:rPr>
                <w:sz w:val="24"/>
              </w:rPr>
              <w:t>212.0</w:t>
            </w:r>
          </w:p>
        </w:tc>
      </w:tr>
      <w:tr w:rsidR="00750112" w:rsidRPr="00F872CC" w:rsidTr="00750112">
        <w:trPr>
          <w:trHeight w:val="266"/>
        </w:trPr>
        <w:tc>
          <w:tcPr>
            <w:tcW w:w="4460" w:type="dxa"/>
            <w:tcBorders>
              <w:top w:val="single" w:sz="6" w:space="0" w:color="000000"/>
              <w:left w:val="single" w:sz="8" w:space="0" w:color="000000"/>
              <w:bottom w:val="single" w:sz="8" w:space="0" w:color="000000"/>
              <w:right w:val="single" w:sz="8" w:space="0" w:color="000000"/>
            </w:tcBorders>
          </w:tcPr>
          <w:p w:rsidR="00750112" w:rsidRPr="0039128A" w:rsidRDefault="00750112" w:rsidP="00750112">
            <w:pPr>
              <w:pStyle w:val="NoSpacing"/>
              <w:rPr>
                <w:sz w:val="24"/>
              </w:rPr>
            </w:pPr>
            <w:r>
              <w:rPr>
                <w:sz w:val="24"/>
              </w:rPr>
              <w:t>458 -571</w:t>
            </w:r>
          </w:p>
        </w:tc>
        <w:tc>
          <w:tcPr>
            <w:tcW w:w="2431" w:type="dxa"/>
            <w:tcBorders>
              <w:top w:val="single" w:sz="6" w:space="0" w:color="000000"/>
              <w:left w:val="single" w:sz="6" w:space="0" w:color="000000"/>
              <w:bottom w:val="single" w:sz="8" w:space="0" w:color="000000"/>
              <w:right w:val="single" w:sz="8" w:space="0" w:color="000000"/>
            </w:tcBorders>
          </w:tcPr>
          <w:p w:rsidR="00750112" w:rsidRPr="0039128A" w:rsidRDefault="00750112" w:rsidP="00750112">
            <w:pPr>
              <w:pStyle w:val="NoSpacing"/>
              <w:rPr>
                <w:sz w:val="24"/>
              </w:rPr>
            </w:pPr>
            <w:r w:rsidRPr="0039128A">
              <w:rPr>
                <w:sz w:val="24"/>
              </w:rPr>
              <w:t>209.0</w:t>
            </w:r>
          </w:p>
        </w:tc>
      </w:tr>
      <w:tr w:rsidR="00750112" w:rsidRPr="00F872CC" w:rsidTr="00750112">
        <w:trPr>
          <w:trHeight w:val="266"/>
        </w:trPr>
        <w:tc>
          <w:tcPr>
            <w:tcW w:w="4460" w:type="dxa"/>
            <w:tcBorders>
              <w:top w:val="single" w:sz="6" w:space="0" w:color="000000"/>
              <w:left w:val="single" w:sz="8" w:space="0" w:color="000000"/>
              <w:bottom w:val="single" w:sz="8" w:space="0" w:color="000000"/>
              <w:right w:val="single" w:sz="8" w:space="0" w:color="000000"/>
            </w:tcBorders>
          </w:tcPr>
          <w:p w:rsidR="00750112" w:rsidRPr="0039128A" w:rsidRDefault="00750112" w:rsidP="00750112">
            <w:pPr>
              <w:pStyle w:val="NoSpacing"/>
              <w:rPr>
                <w:sz w:val="24"/>
              </w:rPr>
            </w:pPr>
            <w:r w:rsidRPr="0039128A">
              <w:rPr>
                <w:sz w:val="24"/>
              </w:rPr>
              <w:t>572</w:t>
            </w:r>
            <w:r>
              <w:rPr>
                <w:sz w:val="24"/>
              </w:rPr>
              <w:t xml:space="preserve"> </w:t>
            </w:r>
            <w:r w:rsidRPr="0039128A">
              <w:rPr>
                <w:sz w:val="24"/>
              </w:rPr>
              <w:t>-</w:t>
            </w:r>
            <w:r>
              <w:rPr>
                <w:sz w:val="24"/>
              </w:rPr>
              <w:t xml:space="preserve"> 687</w:t>
            </w:r>
          </w:p>
        </w:tc>
        <w:tc>
          <w:tcPr>
            <w:tcW w:w="2431" w:type="dxa"/>
            <w:tcBorders>
              <w:top w:val="single" w:sz="6" w:space="0" w:color="000000"/>
              <w:left w:val="single" w:sz="6" w:space="0" w:color="000000"/>
              <w:bottom w:val="single" w:sz="8" w:space="0" w:color="000000"/>
              <w:right w:val="single" w:sz="8" w:space="0" w:color="000000"/>
            </w:tcBorders>
          </w:tcPr>
          <w:p w:rsidR="00750112" w:rsidRPr="0039128A" w:rsidRDefault="00750112" w:rsidP="00750112">
            <w:pPr>
              <w:pStyle w:val="NoSpacing"/>
              <w:rPr>
                <w:sz w:val="24"/>
              </w:rPr>
            </w:pPr>
            <w:r w:rsidRPr="0039128A">
              <w:rPr>
                <w:sz w:val="24"/>
              </w:rPr>
              <w:t>206.2</w:t>
            </w:r>
          </w:p>
        </w:tc>
      </w:tr>
      <w:tr w:rsidR="00750112" w:rsidRPr="00F872CC" w:rsidTr="00750112">
        <w:trPr>
          <w:trHeight w:val="266"/>
        </w:trPr>
        <w:tc>
          <w:tcPr>
            <w:tcW w:w="4460" w:type="dxa"/>
            <w:tcBorders>
              <w:top w:val="single" w:sz="6" w:space="0" w:color="000000"/>
              <w:left w:val="single" w:sz="8" w:space="0" w:color="000000"/>
              <w:bottom w:val="single" w:sz="8" w:space="0" w:color="000000"/>
              <w:right w:val="single" w:sz="8" w:space="0" w:color="000000"/>
            </w:tcBorders>
          </w:tcPr>
          <w:p w:rsidR="00750112" w:rsidRPr="0039128A" w:rsidRDefault="00750112" w:rsidP="00750112">
            <w:pPr>
              <w:pStyle w:val="NoSpacing"/>
              <w:rPr>
                <w:sz w:val="24"/>
              </w:rPr>
            </w:pPr>
            <w:r w:rsidRPr="0039128A">
              <w:rPr>
                <w:sz w:val="24"/>
              </w:rPr>
              <w:t xml:space="preserve">688 </w:t>
            </w:r>
            <w:r>
              <w:rPr>
                <w:sz w:val="24"/>
              </w:rPr>
              <w:t>-</w:t>
            </w:r>
            <w:r w:rsidRPr="0039128A">
              <w:rPr>
                <w:sz w:val="24"/>
              </w:rPr>
              <w:t xml:space="preserve"> 800</w:t>
            </w:r>
          </w:p>
        </w:tc>
        <w:tc>
          <w:tcPr>
            <w:tcW w:w="2431" w:type="dxa"/>
            <w:tcBorders>
              <w:top w:val="single" w:sz="6" w:space="0" w:color="000000"/>
              <w:left w:val="single" w:sz="6" w:space="0" w:color="000000"/>
              <w:bottom w:val="single" w:sz="8" w:space="0" w:color="000000"/>
              <w:right w:val="single" w:sz="8" w:space="0" w:color="000000"/>
            </w:tcBorders>
          </w:tcPr>
          <w:p w:rsidR="00750112" w:rsidRPr="0039128A" w:rsidRDefault="00750112" w:rsidP="00750112">
            <w:pPr>
              <w:pStyle w:val="NoSpacing"/>
              <w:rPr>
                <w:sz w:val="24"/>
              </w:rPr>
            </w:pPr>
            <w:r>
              <w:rPr>
                <w:sz w:val="24"/>
              </w:rPr>
              <w:t>2</w:t>
            </w:r>
            <w:r w:rsidRPr="0039128A">
              <w:rPr>
                <w:sz w:val="24"/>
              </w:rPr>
              <w:t>03.6</w:t>
            </w:r>
          </w:p>
        </w:tc>
      </w:tr>
      <w:tr w:rsidR="00750112" w:rsidRPr="00F872CC" w:rsidTr="00750112">
        <w:trPr>
          <w:trHeight w:val="266"/>
        </w:trPr>
        <w:tc>
          <w:tcPr>
            <w:tcW w:w="4460" w:type="dxa"/>
            <w:tcBorders>
              <w:top w:val="single" w:sz="6" w:space="0" w:color="000000"/>
              <w:left w:val="single" w:sz="8" w:space="0" w:color="000000"/>
              <w:bottom w:val="single" w:sz="8" w:space="0" w:color="000000"/>
              <w:right w:val="single" w:sz="8" w:space="0" w:color="000000"/>
            </w:tcBorders>
          </w:tcPr>
          <w:p w:rsidR="00750112" w:rsidRPr="0039128A" w:rsidRDefault="00750112" w:rsidP="00750112">
            <w:pPr>
              <w:pStyle w:val="NoSpacing"/>
              <w:rPr>
                <w:sz w:val="24"/>
              </w:rPr>
            </w:pPr>
            <w:r w:rsidRPr="0039128A">
              <w:rPr>
                <w:sz w:val="24"/>
              </w:rPr>
              <w:t xml:space="preserve">801 </w:t>
            </w:r>
            <w:r>
              <w:rPr>
                <w:sz w:val="24"/>
              </w:rPr>
              <w:t>-</w:t>
            </w:r>
            <w:r w:rsidRPr="0039128A">
              <w:rPr>
                <w:sz w:val="24"/>
              </w:rPr>
              <w:t xml:space="preserve"> 915</w:t>
            </w:r>
          </w:p>
        </w:tc>
        <w:tc>
          <w:tcPr>
            <w:tcW w:w="2431" w:type="dxa"/>
            <w:tcBorders>
              <w:top w:val="single" w:sz="6" w:space="0" w:color="000000"/>
              <w:left w:val="single" w:sz="6" w:space="0" w:color="000000"/>
              <w:bottom w:val="single" w:sz="8" w:space="0" w:color="000000"/>
              <w:right w:val="single" w:sz="8" w:space="0" w:color="000000"/>
            </w:tcBorders>
          </w:tcPr>
          <w:p w:rsidR="00750112" w:rsidRPr="0039128A" w:rsidRDefault="00750112" w:rsidP="00750112">
            <w:pPr>
              <w:pStyle w:val="NoSpacing"/>
              <w:rPr>
                <w:sz w:val="24"/>
              </w:rPr>
            </w:pPr>
            <w:r w:rsidRPr="0039128A">
              <w:rPr>
                <w:sz w:val="24"/>
              </w:rPr>
              <w:t>201.2</w:t>
            </w:r>
          </w:p>
        </w:tc>
      </w:tr>
      <w:tr w:rsidR="00750112" w:rsidRPr="00F872CC" w:rsidTr="00750112">
        <w:trPr>
          <w:trHeight w:val="266"/>
        </w:trPr>
        <w:tc>
          <w:tcPr>
            <w:tcW w:w="4460" w:type="dxa"/>
            <w:tcBorders>
              <w:top w:val="single" w:sz="6" w:space="0" w:color="000000"/>
              <w:left w:val="single" w:sz="8" w:space="0" w:color="000000"/>
              <w:bottom w:val="single" w:sz="8" w:space="0" w:color="000000"/>
              <w:right w:val="single" w:sz="8" w:space="0" w:color="000000"/>
            </w:tcBorders>
          </w:tcPr>
          <w:p w:rsidR="00750112" w:rsidRPr="0039128A" w:rsidRDefault="00750112" w:rsidP="00750112">
            <w:pPr>
              <w:pStyle w:val="NoSpacing"/>
              <w:rPr>
                <w:sz w:val="24"/>
              </w:rPr>
            </w:pPr>
            <w:r w:rsidRPr="0039128A">
              <w:rPr>
                <w:sz w:val="24"/>
              </w:rPr>
              <w:t xml:space="preserve">916 </w:t>
            </w:r>
            <w:r>
              <w:rPr>
                <w:sz w:val="24"/>
              </w:rPr>
              <w:t>-</w:t>
            </w:r>
            <w:r w:rsidRPr="0039128A">
              <w:rPr>
                <w:sz w:val="24"/>
              </w:rPr>
              <w:t xml:space="preserve"> 1028</w:t>
            </w:r>
          </w:p>
        </w:tc>
        <w:tc>
          <w:tcPr>
            <w:tcW w:w="2431" w:type="dxa"/>
            <w:tcBorders>
              <w:top w:val="single" w:sz="6" w:space="0" w:color="000000"/>
              <w:left w:val="single" w:sz="6" w:space="0" w:color="000000"/>
              <w:bottom w:val="single" w:sz="8" w:space="0" w:color="000000"/>
              <w:right w:val="single" w:sz="8" w:space="0" w:color="000000"/>
            </w:tcBorders>
          </w:tcPr>
          <w:p w:rsidR="00750112" w:rsidRPr="0039128A" w:rsidRDefault="00750112" w:rsidP="00750112">
            <w:pPr>
              <w:pStyle w:val="NoSpacing"/>
              <w:rPr>
                <w:sz w:val="24"/>
              </w:rPr>
            </w:pPr>
            <w:r w:rsidRPr="0039128A">
              <w:rPr>
                <w:sz w:val="24"/>
              </w:rPr>
              <w:t>199.0</w:t>
            </w:r>
          </w:p>
        </w:tc>
      </w:tr>
      <w:tr w:rsidR="00750112" w:rsidRPr="00F872CC" w:rsidTr="00750112">
        <w:trPr>
          <w:trHeight w:val="266"/>
        </w:trPr>
        <w:tc>
          <w:tcPr>
            <w:tcW w:w="4460" w:type="dxa"/>
            <w:tcBorders>
              <w:top w:val="single" w:sz="6" w:space="0" w:color="000000"/>
              <w:left w:val="single" w:sz="8" w:space="0" w:color="000000"/>
              <w:bottom w:val="single" w:sz="8" w:space="0" w:color="000000"/>
              <w:right w:val="single" w:sz="8" w:space="0" w:color="000000"/>
            </w:tcBorders>
          </w:tcPr>
          <w:p w:rsidR="00750112" w:rsidRPr="0039128A" w:rsidRDefault="00750112" w:rsidP="00750112">
            <w:pPr>
              <w:pStyle w:val="NoSpacing"/>
              <w:rPr>
                <w:sz w:val="24"/>
              </w:rPr>
            </w:pPr>
            <w:r w:rsidRPr="0039128A">
              <w:rPr>
                <w:sz w:val="24"/>
              </w:rPr>
              <w:t>1029 - 1429</w:t>
            </w:r>
          </w:p>
        </w:tc>
        <w:tc>
          <w:tcPr>
            <w:tcW w:w="2431" w:type="dxa"/>
            <w:tcBorders>
              <w:top w:val="single" w:sz="6" w:space="0" w:color="000000"/>
              <w:left w:val="single" w:sz="6" w:space="0" w:color="000000"/>
              <w:bottom w:val="single" w:sz="8" w:space="0" w:color="000000"/>
              <w:right w:val="single" w:sz="8" w:space="0" w:color="000000"/>
            </w:tcBorders>
          </w:tcPr>
          <w:p w:rsidR="00750112" w:rsidRPr="0039128A" w:rsidRDefault="00750112" w:rsidP="00750112">
            <w:pPr>
              <w:pStyle w:val="NoSpacing"/>
              <w:rPr>
                <w:sz w:val="24"/>
              </w:rPr>
            </w:pPr>
            <w:r w:rsidRPr="0039128A">
              <w:rPr>
                <w:sz w:val="24"/>
              </w:rPr>
              <w:t>196.9</w:t>
            </w:r>
          </w:p>
        </w:tc>
      </w:tr>
      <w:tr w:rsidR="00750112" w:rsidRPr="00F872CC" w:rsidTr="00750112">
        <w:trPr>
          <w:trHeight w:val="266"/>
        </w:trPr>
        <w:tc>
          <w:tcPr>
            <w:tcW w:w="4460" w:type="dxa"/>
            <w:tcBorders>
              <w:top w:val="single" w:sz="6" w:space="0" w:color="000000"/>
              <w:left w:val="single" w:sz="8" w:space="0" w:color="000000"/>
              <w:bottom w:val="single" w:sz="8" w:space="0" w:color="000000"/>
              <w:right w:val="single" w:sz="8" w:space="0" w:color="000000"/>
            </w:tcBorders>
          </w:tcPr>
          <w:p w:rsidR="00750112" w:rsidRPr="0039128A" w:rsidRDefault="00750112" w:rsidP="00750112">
            <w:pPr>
              <w:pStyle w:val="NoSpacing"/>
              <w:rPr>
                <w:sz w:val="24"/>
              </w:rPr>
            </w:pPr>
            <w:r w:rsidRPr="0039128A">
              <w:rPr>
                <w:sz w:val="24"/>
              </w:rPr>
              <w:t>1430 - 2000</w:t>
            </w:r>
          </w:p>
        </w:tc>
        <w:tc>
          <w:tcPr>
            <w:tcW w:w="2431" w:type="dxa"/>
            <w:tcBorders>
              <w:top w:val="single" w:sz="6" w:space="0" w:color="000000"/>
              <w:left w:val="single" w:sz="6" w:space="0" w:color="000000"/>
              <w:bottom w:val="single" w:sz="8" w:space="0" w:color="000000"/>
              <w:right w:val="single" w:sz="8" w:space="0" w:color="000000"/>
            </w:tcBorders>
          </w:tcPr>
          <w:p w:rsidR="00750112" w:rsidRPr="0039128A" w:rsidRDefault="00750112" w:rsidP="00750112">
            <w:pPr>
              <w:pStyle w:val="NoSpacing"/>
              <w:rPr>
                <w:sz w:val="24"/>
              </w:rPr>
            </w:pPr>
            <w:r w:rsidRPr="0039128A">
              <w:rPr>
                <w:sz w:val="24"/>
              </w:rPr>
              <w:t>195.1</w:t>
            </w:r>
          </w:p>
        </w:tc>
      </w:tr>
      <w:tr w:rsidR="00750112" w:rsidRPr="00F872CC" w:rsidTr="00750112">
        <w:trPr>
          <w:trHeight w:val="266"/>
        </w:trPr>
        <w:tc>
          <w:tcPr>
            <w:tcW w:w="4460" w:type="dxa"/>
            <w:tcBorders>
              <w:top w:val="single" w:sz="6" w:space="0" w:color="000000"/>
              <w:left w:val="single" w:sz="8" w:space="0" w:color="000000"/>
              <w:bottom w:val="single" w:sz="8" w:space="0" w:color="000000"/>
              <w:right w:val="single" w:sz="8" w:space="0" w:color="000000"/>
            </w:tcBorders>
          </w:tcPr>
          <w:p w:rsidR="00750112" w:rsidRPr="0039128A" w:rsidRDefault="00750112" w:rsidP="00750112">
            <w:pPr>
              <w:pStyle w:val="NoSpacing"/>
              <w:rPr>
                <w:sz w:val="24"/>
              </w:rPr>
            </w:pPr>
            <w:r w:rsidRPr="0039128A">
              <w:rPr>
                <w:sz w:val="24"/>
              </w:rPr>
              <w:t>2001 - 2286</w:t>
            </w:r>
          </w:p>
        </w:tc>
        <w:tc>
          <w:tcPr>
            <w:tcW w:w="2431" w:type="dxa"/>
            <w:tcBorders>
              <w:top w:val="single" w:sz="6" w:space="0" w:color="000000"/>
              <w:left w:val="single" w:sz="6" w:space="0" w:color="000000"/>
              <w:bottom w:val="single" w:sz="8" w:space="0" w:color="000000"/>
              <w:right w:val="single" w:sz="8" w:space="0" w:color="000000"/>
            </w:tcBorders>
          </w:tcPr>
          <w:p w:rsidR="00750112" w:rsidRPr="0039128A" w:rsidRDefault="00750112" w:rsidP="00750112">
            <w:pPr>
              <w:pStyle w:val="NoSpacing"/>
              <w:rPr>
                <w:sz w:val="24"/>
              </w:rPr>
            </w:pPr>
            <w:r w:rsidRPr="0039128A">
              <w:rPr>
                <w:sz w:val="24"/>
              </w:rPr>
              <w:t>193.4</w:t>
            </w:r>
          </w:p>
        </w:tc>
      </w:tr>
      <w:tr w:rsidR="00750112" w:rsidRPr="00F872CC" w:rsidTr="00750112">
        <w:trPr>
          <w:trHeight w:val="266"/>
        </w:trPr>
        <w:tc>
          <w:tcPr>
            <w:tcW w:w="4460" w:type="dxa"/>
            <w:tcBorders>
              <w:top w:val="single" w:sz="6" w:space="0" w:color="000000"/>
              <w:left w:val="single" w:sz="8" w:space="0" w:color="000000"/>
              <w:bottom w:val="single" w:sz="8" w:space="0" w:color="000000"/>
              <w:right w:val="single" w:sz="8" w:space="0" w:color="000000"/>
            </w:tcBorders>
          </w:tcPr>
          <w:p w:rsidR="00750112" w:rsidRPr="0039128A" w:rsidRDefault="00750112" w:rsidP="00750112">
            <w:pPr>
              <w:pStyle w:val="NoSpacing"/>
              <w:rPr>
                <w:sz w:val="24"/>
              </w:rPr>
            </w:pPr>
            <w:r w:rsidRPr="0039128A">
              <w:rPr>
                <w:sz w:val="24"/>
              </w:rPr>
              <w:t>2287 - 2857</w:t>
            </w:r>
          </w:p>
        </w:tc>
        <w:tc>
          <w:tcPr>
            <w:tcW w:w="2431" w:type="dxa"/>
            <w:tcBorders>
              <w:top w:val="single" w:sz="6" w:space="0" w:color="000000"/>
              <w:left w:val="single" w:sz="6" w:space="0" w:color="000000"/>
              <w:bottom w:val="single" w:sz="8" w:space="0" w:color="000000"/>
              <w:right w:val="single" w:sz="8" w:space="0" w:color="000000"/>
            </w:tcBorders>
          </w:tcPr>
          <w:p w:rsidR="00750112" w:rsidRPr="0039128A" w:rsidRDefault="00750112" w:rsidP="00750112">
            <w:pPr>
              <w:pStyle w:val="NoSpacing"/>
              <w:rPr>
                <w:sz w:val="24"/>
              </w:rPr>
            </w:pPr>
            <w:r w:rsidRPr="0039128A">
              <w:rPr>
                <w:sz w:val="24"/>
              </w:rPr>
              <w:t>191.9</w:t>
            </w:r>
          </w:p>
        </w:tc>
      </w:tr>
      <w:tr w:rsidR="00750112" w:rsidRPr="00F872CC" w:rsidTr="00750112">
        <w:trPr>
          <w:trHeight w:val="266"/>
        </w:trPr>
        <w:tc>
          <w:tcPr>
            <w:tcW w:w="4460" w:type="dxa"/>
            <w:tcBorders>
              <w:top w:val="single" w:sz="6" w:space="0" w:color="000000"/>
              <w:left w:val="single" w:sz="8" w:space="0" w:color="000000"/>
              <w:bottom w:val="single" w:sz="8" w:space="0" w:color="000000"/>
              <w:right w:val="single" w:sz="8" w:space="0" w:color="000000"/>
            </w:tcBorders>
          </w:tcPr>
          <w:p w:rsidR="00750112" w:rsidRPr="0039128A" w:rsidRDefault="00750112" w:rsidP="00750112">
            <w:pPr>
              <w:pStyle w:val="NoSpacing"/>
              <w:rPr>
                <w:sz w:val="24"/>
              </w:rPr>
            </w:pPr>
            <w:r w:rsidRPr="0039128A">
              <w:rPr>
                <w:sz w:val="24"/>
              </w:rPr>
              <w:t>2858 -</w:t>
            </w:r>
            <w:r>
              <w:rPr>
                <w:sz w:val="24"/>
              </w:rPr>
              <w:t xml:space="preserve"> 3428</w:t>
            </w:r>
          </w:p>
        </w:tc>
        <w:tc>
          <w:tcPr>
            <w:tcW w:w="2431" w:type="dxa"/>
            <w:tcBorders>
              <w:top w:val="single" w:sz="6" w:space="0" w:color="000000"/>
              <w:left w:val="single" w:sz="6" w:space="0" w:color="000000"/>
              <w:bottom w:val="single" w:sz="8" w:space="0" w:color="000000"/>
              <w:right w:val="single" w:sz="8" w:space="0" w:color="000000"/>
            </w:tcBorders>
          </w:tcPr>
          <w:p w:rsidR="00750112" w:rsidRPr="0039128A" w:rsidRDefault="00750112" w:rsidP="00750112">
            <w:pPr>
              <w:pStyle w:val="NoSpacing"/>
              <w:rPr>
                <w:sz w:val="24"/>
              </w:rPr>
            </w:pPr>
            <w:r w:rsidRPr="0039128A">
              <w:rPr>
                <w:sz w:val="24"/>
              </w:rPr>
              <w:t>190.6</w:t>
            </w:r>
          </w:p>
        </w:tc>
      </w:tr>
      <w:tr w:rsidR="00750112" w:rsidRPr="00F872CC" w:rsidTr="00750112">
        <w:trPr>
          <w:trHeight w:val="266"/>
        </w:trPr>
        <w:tc>
          <w:tcPr>
            <w:tcW w:w="4460" w:type="dxa"/>
            <w:tcBorders>
              <w:top w:val="single" w:sz="6" w:space="0" w:color="000000"/>
              <w:left w:val="single" w:sz="8" w:space="0" w:color="000000"/>
              <w:bottom w:val="single" w:sz="8" w:space="0" w:color="000000"/>
              <w:right w:val="single" w:sz="8" w:space="0" w:color="000000"/>
            </w:tcBorders>
          </w:tcPr>
          <w:p w:rsidR="00750112" w:rsidRPr="0039128A" w:rsidRDefault="00750112" w:rsidP="00750112">
            <w:pPr>
              <w:pStyle w:val="NoSpacing"/>
              <w:rPr>
                <w:sz w:val="24"/>
              </w:rPr>
            </w:pPr>
            <w:r>
              <w:rPr>
                <w:sz w:val="24"/>
              </w:rPr>
              <w:t>3429 - 4000</w:t>
            </w:r>
          </w:p>
        </w:tc>
        <w:tc>
          <w:tcPr>
            <w:tcW w:w="2431" w:type="dxa"/>
            <w:tcBorders>
              <w:top w:val="single" w:sz="6" w:space="0" w:color="000000"/>
              <w:left w:val="single" w:sz="6" w:space="0" w:color="000000"/>
              <w:bottom w:val="single" w:sz="8" w:space="0" w:color="000000"/>
              <w:right w:val="single" w:sz="8" w:space="0" w:color="000000"/>
            </w:tcBorders>
          </w:tcPr>
          <w:p w:rsidR="00750112" w:rsidRPr="0039128A" w:rsidRDefault="00750112" w:rsidP="00750112">
            <w:pPr>
              <w:pStyle w:val="NoSpacing"/>
              <w:rPr>
                <w:sz w:val="24"/>
              </w:rPr>
            </w:pPr>
            <w:r w:rsidRPr="0039128A">
              <w:rPr>
                <w:sz w:val="24"/>
              </w:rPr>
              <w:t>189.4</w:t>
            </w:r>
          </w:p>
        </w:tc>
      </w:tr>
      <w:tr w:rsidR="00750112" w:rsidRPr="00F872CC" w:rsidTr="00750112">
        <w:trPr>
          <w:trHeight w:val="266"/>
        </w:trPr>
        <w:tc>
          <w:tcPr>
            <w:tcW w:w="4460" w:type="dxa"/>
            <w:tcBorders>
              <w:top w:val="single" w:sz="6" w:space="0" w:color="000000"/>
              <w:left w:val="single" w:sz="8" w:space="0" w:color="000000"/>
              <w:bottom w:val="single" w:sz="6" w:space="0" w:color="000000"/>
              <w:right w:val="single" w:sz="8" w:space="0" w:color="000000"/>
            </w:tcBorders>
          </w:tcPr>
          <w:p w:rsidR="00750112" w:rsidRPr="0039128A" w:rsidRDefault="00750112" w:rsidP="00750112">
            <w:pPr>
              <w:pStyle w:val="NoSpacing"/>
              <w:rPr>
                <w:sz w:val="24"/>
              </w:rPr>
            </w:pPr>
            <w:r>
              <w:rPr>
                <w:sz w:val="24"/>
              </w:rPr>
              <w:t>4001 - 4569</w:t>
            </w:r>
          </w:p>
        </w:tc>
        <w:tc>
          <w:tcPr>
            <w:tcW w:w="2431" w:type="dxa"/>
            <w:tcBorders>
              <w:top w:val="single" w:sz="6" w:space="0" w:color="000000"/>
              <w:left w:val="single" w:sz="6" w:space="0" w:color="000000"/>
              <w:bottom w:val="single" w:sz="6" w:space="0" w:color="000000"/>
              <w:right w:val="single" w:sz="8" w:space="0" w:color="000000"/>
            </w:tcBorders>
          </w:tcPr>
          <w:p w:rsidR="00750112" w:rsidRPr="0039128A" w:rsidRDefault="00750112" w:rsidP="00750112">
            <w:pPr>
              <w:pStyle w:val="NoSpacing"/>
              <w:rPr>
                <w:sz w:val="24"/>
              </w:rPr>
            </w:pPr>
            <w:r w:rsidRPr="0039128A">
              <w:rPr>
                <w:sz w:val="24"/>
              </w:rPr>
              <w:t>188.4</w:t>
            </w:r>
          </w:p>
        </w:tc>
      </w:tr>
      <w:tr w:rsidR="00750112" w:rsidRPr="00F872CC" w:rsidTr="00750112">
        <w:trPr>
          <w:trHeight w:val="266"/>
        </w:trPr>
        <w:tc>
          <w:tcPr>
            <w:tcW w:w="4460" w:type="dxa"/>
            <w:tcBorders>
              <w:top w:val="single" w:sz="6" w:space="0" w:color="000000"/>
              <w:left w:val="single" w:sz="8" w:space="0" w:color="000000"/>
              <w:bottom w:val="single" w:sz="8" w:space="0" w:color="000000"/>
              <w:right w:val="single" w:sz="8" w:space="0" w:color="000000"/>
            </w:tcBorders>
          </w:tcPr>
          <w:p w:rsidR="00750112" w:rsidRPr="0039128A" w:rsidRDefault="00750112" w:rsidP="00750112">
            <w:pPr>
              <w:pStyle w:val="NoSpacing"/>
              <w:rPr>
                <w:sz w:val="24"/>
              </w:rPr>
            </w:pPr>
            <w:r>
              <w:rPr>
                <w:sz w:val="24"/>
              </w:rPr>
              <w:t>4570 and over</w:t>
            </w:r>
          </w:p>
        </w:tc>
        <w:tc>
          <w:tcPr>
            <w:tcW w:w="2431" w:type="dxa"/>
            <w:tcBorders>
              <w:top w:val="single" w:sz="6" w:space="0" w:color="000000"/>
              <w:left w:val="single" w:sz="6" w:space="0" w:color="000000"/>
              <w:bottom w:val="single" w:sz="8" w:space="0" w:color="000000"/>
              <w:right w:val="single" w:sz="8" w:space="0" w:color="000000"/>
            </w:tcBorders>
          </w:tcPr>
          <w:p w:rsidR="00750112" w:rsidRPr="0039128A" w:rsidRDefault="00750112" w:rsidP="00750112">
            <w:pPr>
              <w:pStyle w:val="NoSpacing"/>
              <w:rPr>
                <w:sz w:val="24"/>
              </w:rPr>
            </w:pPr>
            <w:r w:rsidRPr="0039128A">
              <w:rPr>
                <w:sz w:val="24"/>
              </w:rPr>
              <w:t>187.7</w:t>
            </w:r>
          </w:p>
        </w:tc>
      </w:tr>
    </w:tbl>
    <w:p w:rsidR="00750112" w:rsidRDefault="00750112" w:rsidP="00750112">
      <w:pPr>
        <w:pStyle w:val="NoSpacing"/>
      </w:pPr>
    </w:p>
    <w:p w:rsidR="00750112" w:rsidRPr="00750112" w:rsidRDefault="00750112" w:rsidP="00750112">
      <w:pPr>
        <w:pStyle w:val="NoSpacing"/>
        <w:rPr>
          <w:rFonts w:cstheme="minorHAnsi"/>
          <w:i/>
          <w:color w:val="000000"/>
          <w:sz w:val="24"/>
        </w:rPr>
      </w:pPr>
      <w:r w:rsidRPr="00750112">
        <w:rPr>
          <w:rFonts w:cstheme="minorHAnsi"/>
          <w:i/>
          <w:color w:val="000000"/>
          <w:sz w:val="24"/>
        </w:rPr>
        <w:t>Table 2: Dispensing Feescale for Contractors that are not authorised or required to provide dispensing services*</w:t>
      </w:r>
    </w:p>
    <w:p w:rsidR="00750112" w:rsidRPr="00750112" w:rsidRDefault="00750112" w:rsidP="00750112">
      <w:pPr>
        <w:pStyle w:val="NoSpacing"/>
        <w:rPr>
          <w:i/>
          <w:sz w:val="24"/>
        </w:rPr>
      </w:pP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460"/>
        <w:gridCol w:w="2431"/>
      </w:tblGrid>
      <w:tr w:rsidR="00750112" w:rsidRPr="00D905D6" w:rsidTr="00750112">
        <w:trPr>
          <w:trHeight w:val="738"/>
        </w:trPr>
        <w:tc>
          <w:tcPr>
            <w:tcW w:w="4460" w:type="dxa"/>
            <w:tcBorders>
              <w:top w:val="single" w:sz="8" w:space="0" w:color="000000"/>
              <w:left w:val="single" w:sz="8" w:space="0" w:color="000000"/>
              <w:bottom w:val="single" w:sz="8" w:space="0" w:color="000000"/>
              <w:right w:val="single" w:sz="8" w:space="0" w:color="000000"/>
            </w:tcBorders>
          </w:tcPr>
          <w:p w:rsidR="00750112" w:rsidRPr="008E3852" w:rsidRDefault="00750112" w:rsidP="00750112">
            <w:pPr>
              <w:pStyle w:val="NoSpacing"/>
              <w:rPr>
                <w:rFonts w:cstheme="minorHAnsi"/>
                <w:color w:val="000000"/>
              </w:rPr>
            </w:pPr>
            <w:r w:rsidRPr="008E3852">
              <w:rPr>
                <w:rFonts w:cstheme="minorHAnsi"/>
                <w:color w:val="000000"/>
              </w:rPr>
              <w:t xml:space="preserve">Total prescriptions calculated separately for each individual dispensing practitioner, in bands </w:t>
            </w:r>
          </w:p>
        </w:tc>
        <w:tc>
          <w:tcPr>
            <w:tcW w:w="2431" w:type="dxa"/>
            <w:tcBorders>
              <w:top w:val="single" w:sz="8" w:space="0" w:color="000000"/>
              <w:left w:val="single" w:sz="6" w:space="0" w:color="000000"/>
              <w:bottom w:val="single" w:sz="8" w:space="0" w:color="000000"/>
              <w:right w:val="single" w:sz="8" w:space="0" w:color="000000"/>
            </w:tcBorders>
          </w:tcPr>
          <w:p w:rsidR="00750112" w:rsidRPr="008E3852" w:rsidRDefault="00750112" w:rsidP="00750112">
            <w:pPr>
              <w:pStyle w:val="NoSpacing"/>
              <w:rPr>
                <w:rFonts w:cstheme="minorHAnsi"/>
                <w:color w:val="000000"/>
              </w:rPr>
            </w:pPr>
            <w:r w:rsidRPr="008E3852">
              <w:rPr>
                <w:rFonts w:cstheme="minorHAnsi"/>
                <w:color w:val="000000"/>
              </w:rPr>
              <w:t xml:space="preserve">Prices per prescription in pence </w:t>
            </w:r>
          </w:p>
        </w:tc>
      </w:tr>
      <w:tr w:rsidR="00750112" w:rsidRPr="00F872CC" w:rsidTr="00750112">
        <w:trPr>
          <w:trHeight w:val="266"/>
        </w:trPr>
        <w:tc>
          <w:tcPr>
            <w:tcW w:w="4460" w:type="dxa"/>
            <w:tcBorders>
              <w:top w:val="single" w:sz="6" w:space="0" w:color="000000"/>
              <w:left w:val="single" w:sz="8" w:space="0" w:color="000000"/>
              <w:bottom w:val="single" w:sz="8" w:space="0" w:color="000000"/>
              <w:right w:val="single" w:sz="8" w:space="0" w:color="000000"/>
            </w:tcBorders>
          </w:tcPr>
          <w:p w:rsidR="00750112" w:rsidRPr="00A8370F" w:rsidRDefault="00750112" w:rsidP="00750112">
            <w:pPr>
              <w:pStyle w:val="NoSpacing"/>
              <w:rPr>
                <w:sz w:val="24"/>
                <w:szCs w:val="24"/>
              </w:rPr>
            </w:pPr>
            <w:r>
              <w:rPr>
                <w:sz w:val="24"/>
                <w:szCs w:val="24"/>
              </w:rPr>
              <w:t>Up to 457</w:t>
            </w:r>
          </w:p>
        </w:tc>
        <w:tc>
          <w:tcPr>
            <w:tcW w:w="2431" w:type="dxa"/>
            <w:tcBorders>
              <w:top w:val="single" w:sz="6" w:space="0" w:color="000000"/>
              <w:left w:val="single" w:sz="6" w:space="0" w:color="000000"/>
              <w:bottom w:val="single" w:sz="8" w:space="0" w:color="000000"/>
              <w:right w:val="single" w:sz="8" w:space="0" w:color="000000"/>
            </w:tcBorders>
          </w:tcPr>
          <w:p w:rsidR="00750112" w:rsidRPr="00A8370F" w:rsidRDefault="00750112" w:rsidP="00750112">
            <w:pPr>
              <w:pStyle w:val="NoSpacing"/>
              <w:rPr>
                <w:sz w:val="24"/>
                <w:szCs w:val="24"/>
              </w:rPr>
            </w:pPr>
            <w:r w:rsidRPr="00A8370F">
              <w:rPr>
                <w:sz w:val="24"/>
                <w:szCs w:val="24"/>
              </w:rPr>
              <w:t>220.9</w:t>
            </w:r>
          </w:p>
        </w:tc>
      </w:tr>
      <w:tr w:rsidR="00750112" w:rsidRPr="00F872CC" w:rsidTr="00750112">
        <w:trPr>
          <w:trHeight w:val="266"/>
        </w:trPr>
        <w:tc>
          <w:tcPr>
            <w:tcW w:w="4460" w:type="dxa"/>
            <w:tcBorders>
              <w:top w:val="single" w:sz="6" w:space="0" w:color="000000"/>
              <w:left w:val="single" w:sz="8" w:space="0" w:color="000000"/>
              <w:bottom w:val="single" w:sz="8" w:space="0" w:color="000000"/>
              <w:right w:val="single" w:sz="8" w:space="0" w:color="000000"/>
            </w:tcBorders>
          </w:tcPr>
          <w:p w:rsidR="00750112" w:rsidRPr="00A8370F" w:rsidRDefault="00750112" w:rsidP="00750112">
            <w:pPr>
              <w:pStyle w:val="NoSpacing"/>
              <w:rPr>
                <w:sz w:val="24"/>
                <w:szCs w:val="24"/>
              </w:rPr>
            </w:pPr>
            <w:r>
              <w:rPr>
                <w:sz w:val="24"/>
                <w:szCs w:val="24"/>
              </w:rPr>
              <w:t>458 - 571</w:t>
            </w:r>
          </w:p>
        </w:tc>
        <w:tc>
          <w:tcPr>
            <w:tcW w:w="2431" w:type="dxa"/>
            <w:tcBorders>
              <w:top w:val="single" w:sz="6" w:space="0" w:color="000000"/>
              <w:left w:val="single" w:sz="6" w:space="0" w:color="000000"/>
              <w:bottom w:val="single" w:sz="8" w:space="0" w:color="000000"/>
              <w:right w:val="single" w:sz="8" w:space="0" w:color="000000"/>
            </w:tcBorders>
          </w:tcPr>
          <w:p w:rsidR="00750112" w:rsidRPr="00A8370F" w:rsidRDefault="00750112" w:rsidP="00750112">
            <w:pPr>
              <w:pStyle w:val="NoSpacing"/>
              <w:rPr>
                <w:sz w:val="24"/>
                <w:szCs w:val="24"/>
              </w:rPr>
            </w:pPr>
            <w:r w:rsidRPr="00A8370F">
              <w:rPr>
                <w:sz w:val="24"/>
                <w:szCs w:val="24"/>
              </w:rPr>
              <w:t>217.8</w:t>
            </w:r>
          </w:p>
        </w:tc>
      </w:tr>
      <w:tr w:rsidR="00750112" w:rsidRPr="00F872CC" w:rsidTr="00750112">
        <w:trPr>
          <w:trHeight w:val="266"/>
        </w:trPr>
        <w:tc>
          <w:tcPr>
            <w:tcW w:w="4460" w:type="dxa"/>
            <w:tcBorders>
              <w:top w:val="single" w:sz="6" w:space="0" w:color="000000"/>
              <w:left w:val="single" w:sz="8" w:space="0" w:color="000000"/>
              <w:bottom w:val="single" w:sz="8" w:space="0" w:color="000000"/>
              <w:right w:val="single" w:sz="8" w:space="0" w:color="000000"/>
            </w:tcBorders>
          </w:tcPr>
          <w:p w:rsidR="00750112" w:rsidRPr="00A8370F" w:rsidRDefault="00750112" w:rsidP="00750112">
            <w:pPr>
              <w:pStyle w:val="NoSpacing"/>
              <w:rPr>
                <w:sz w:val="24"/>
                <w:szCs w:val="24"/>
              </w:rPr>
            </w:pPr>
            <w:r>
              <w:rPr>
                <w:sz w:val="24"/>
                <w:szCs w:val="24"/>
              </w:rPr>
              <w:t>572 - 687</w:t>
            </w:r>
          </w:p>
        </w:tc>
        <w:tc>
          <w:tcPr>
            <w:tcW w:w="2431" w:type="dxa"/>
            <w:tcBorders>
              <w:top w:val="single" w:sz="6" w:space="0" w:color="000000"/>
              <w:left w:val="single" w:sz="6" w:space="0" w:color="000000"/>
              <w:bottom w:val="single" w:sz="8" w:space="0" w:color="000000"/>
              <w:right w:val="single" w:sz="8" w:space="0" w:color="000000"/>
            </w:tcBorders>
          </w:tcPr>
          <w:p w:rsidR="00750112" w:rsidRPr="00A8370F" w:rsidRDefault="00750112" w:rsidP="00750112">
            <w:pPr>
              <w:pStyle w:val="NoSpacing"/>
              <w:rPr>
                <w:sz w:val="24"/>
                <w:szCs w:val="24"/>
              </w:rPr>
            </w:pPr>
            <w:r w:rsidRPr="00A8370F">
              <w:rPr>
                <w:sz w:val="24"/>
                <w:szCs w:val="24"/>
              </w:rPr>
              <w:t>215.1</w:t>
            </w:r>
          </w:p>
        </w:tc>
      </w:tr>
      <w:tr w:rsidR="00750112" w:rsidRPr="00F872CC" w:rsidTr="00750112">
        <w:trPr>
          <w:trHeight w:val="266"/>
        </w:trPr>
        <w:tc>
          <w:tcPr>
            <w:tcW w:w="4460" w:type="dxa"/>
            <w:tcBorders>
              <w:top w:val="single" w:sz="6" w:space="0" w:color="000000"/>
              <w:left w:val="single" w:sz="8" w:space="0" w:color="000000"/>
              <w:bottom w:val="single" w:sz="8" w:space="0" w:color="000000"/>
              <w:right w:val="single" w:sz="8" w:space="0" w:color="000000"/>
            </w:tcBorders>
          </w:tcPr>
          <w:p w:rsidR="00750112" w:rsidRPr="00A8370F" w:rsidRDefault="00750112" w:rsidP="00750112">
            <w:pPr>
              <w:pStyle w:val="NoSpacing"/>
              <w:rPr>
                <w:sz w:val="24"/>
                <w:szCs w:val="24"/>
              </w:rPr>
            </w:pPr>
            <w:r>
              <w:rPr>
                <w:sz w:val="24"/>
                <w:szCs w:val="24"/>
              </w:rPr>
              <w:t>688 - 800</w:t>
            </w:r>
          </w:p>
        </w:tc>
        <w:tc>
          <w:tcPr>
            <w:tcW w:w="2431" w:type="dxa"/>
            <w:tcBorders>
              <w:top w:val="single" w:sz="6" w:space="0" w:color="000000"/>
              <w:left w:val="single" w:sz="6" w:space="0" w:color="000000"/>
              <w:bottom w:val="single" w:sz="8" w:space="0" w:color="000000"/>
              <w:right w:val="single" w:sz="8" w:space="0" w:color="000000"/>
            </w:tcBorders>
          </w:tcPr>
          <w:p w:rsidR="00750112" w:rsidRPr="00A8370F" w:rsidRDefault="00750112" w:rsidP="00750112">
            <w:pPr>
              <w:pStyle w:val="NoSpacing"/>
              <w:rPr>
                <w:sz w:val="24"/>
                <w:szCs w:val="24"/>
              </w:rPr>
            </w:pPr>
            <w:r w:rsidRPr="00A8370F">
              <w:rPr>
                <w:sz w:val="24"/>
                <w:szCs w:val="24"/>
              </w:rPr>
              <w:t>212.5</w:t>
            </w:r>
          </w:p>
        </w:tc>
      </w:tr>
      <w:tr w:rsidR="00750112" w:rsidRPr="00F872CC" w:rsidTr="00750112">
        <w:trPr>
          <w:trHeight w:val="266"/>
        </w:trPr>
        <w:tc>
          <w:tcPr>
            <w:tcW w:w="4460" w:type="dxa"/>
            <w:tcBorders>
              <w:top w:val="single" w:sz="6" w:space="0" w:color="000000"/>
              <w:left w:val="single" w:sz="8" w:space="0" w:color="000000"/>
              <w:bottom w:val="single" w:sz="8" w:space="0" w:color="000000"/>
              <w:right w:val="single" w:sz="8" w:space="0" w:color="000000"/>
            </w:tcBorders>
          </w:tcPr>
          <w:p w:rsidR="00750112" w:rsidRPr="00A8370F" w:rsidRDefault="00750112" w:rsidP="00750112">
            <w:pPr>
              <w:pStyle w:val="NoSpacing"/>
              <w:rPr>
                <w:sz w:val="24"/>
                <w:szCs w:val="24"/>
              </w:rPr>
            </w:pPr>
            <w:r>
              <w:rPr>
                <w:sz w:val="24"/>
                <w:szCs w:val="24"/>
              </w:rPr>
              <w:t>801 - 915</w:t>
            </w:r>
          </w:p>
        </w:tc>
        <w:tc>
          <w:tcPr>
            <w:tcW w:w="2431" w:type="dxa"/>
            <w:tcBorders>
              <w:top w:val="single" w:sz="6" w:space="0" w:color="000000"/>
              <w:left w:val="single" w:sz="6" w:space="0" w:color="000000"/>
              <w:bottom w:val="single" w:sz="8" w:space="0" w:color="000000"/>
              <w:right w:val="single" w:sz="8" w:space="0" w:color="000000"/>
            </w:tcBorders>
          </w:tcPr>
          <w:p w:rsidR="00750112" w:rsidRPr="00A8370F" w:rsidRDefault="00750112" w:rsidP="00750112">
            <w:pPr>
              <w:pStyle w:val="NoSpacing"/>
              <w:rPr>
                <w:sz w:val="24"/>
                <w:szCs w:val="24"/>
              </w:rPr>
            </w:pPr>
            <w:r w:rsidRPr="00A8370F">
              <w:rPr>
                <w:sz w:val="24"/>
                <w:szCs w:val="24"/>
              </w:rPr>
              <w:t>210.2</w:t>
            </w:r>
          </w:p>
        </w:tc>
      </w:tr>
      <w:tr w:rsidR="00750112" w:rsidRPr="00F872CC" w:rsidTr="00750112">
        <w:trPr>
          <w:trHeight w:val="266"/>
        </w:trPr>
        <w:tc>
          <w:tcPr>
            <w:tcW w:w="4460" w:type="dxa"/>
            <w:tcBorders>
              <w:top w:val="single" w:sz="6" w:space="0" w:color="000000"/>
              <w:left w:val="single" w:sz="8" w:space="0" w:color="000000"/>
              <w:bottom w:val="single" w:sz="8" w:space="0" w:color="000000"/>
              <w:right w:val="single" w:sz="8" w:space="0" w:color="000000"/>
            </w:tcBorders>
          </w:tcPr>
          <w:p w:rsidR="00750112" w:rsidRPr="00A8370F" w:rsidRDefault="00750112" w:rsidP="00750112">
            <w:pPr>
              <w:pStyle w:val="NoSpacing"/>
              <w:rPr>
                <w:sz w:val="24"/>
                <w:szCs w:val="24"/>
              </w:rPr>
            </w:pPr>
            <w:r>
              <w:rPr>
                <w:sz w:val="24"/>
                <w:szCs w:val="24"/>
              </w:rPr>
              <w:t>916 - 1028</w:t>
            </w:r>
          </w:p>
        </w:tc>
        <w:tc>
          <w:tcPr>
            <w:tcW w:w="2431" w:type="dxa"/>
            <w:tcBorders>
              <w:top w:val="single" w:sz="6" w:space="0" w:color="000000"/>
              <w:left w:val="single" w:sz="6" w:space="0" w:color="000000"/>
              <w:bottom w:val="single" w:sz="8" w:space="0" w:color="000000"/>
              <w:right w:val="single" w:sz="8" w:space="0" w:color="000000"/>
            </w:tcBorders>
          </w:tcPr>
          <w:p w:rsidR="00750112" w:rsidRPr="00A8370F" w:rsidRDefault="00750112" w:rsidP="00750112">
            <w:pPr>
              <w:pStyle w:val="NoSpacing"/>
              <w:rPr>
                <w:sz w:val="24"/>
                <w:szCs w:val="24"/>
              </w:rPr>
            </w:pPr>
            <w:r w:rsidRPr="00A8370F">
              <w:rPr>
                <w:sz w:val="24"/>
                <w:szCs w:val="24"/>
              </w:rPr>
              <w:t>207.9</w:t>
            </w:r>
          </w:p>
        </w:tc>
      </w:tr>
      <w:tr w:rsidR="00750112" w:rsidRPr="00F872CC" w:rsidTr="00750112">
        <w:trPr>
          <w:trHeight w:val="266"/>
        </w:trPr>
        <w:tc>
          <w:tcPr>
            <w:tcW w:w="4460" w:type="dxa"/>
            <w:tcBorders>
              <w:top w:val="single" w:sz="6" w:space="0" w:color="000000"/>
              <w:left w:val="single" w:sz="8" w:space="0" w:color="000000"/>
              <w:bottom w:val="single" w:sz="8" w:space="0" w:color="000000"/>
              <w:right w:val="single" w:sz="8" w:space="0" w:color="000000"/>
            </w:tcBorders>
          </w:tcPr>
          <w:p w:rsidR="00750112" w:rsidRPr="00A8370F" w:rsidRDefault="00750112" w:rsidP="00750112">
            <w:pPr>
              <w:pStyle w:val="NoSpacing"/>
              <w:rPr>
                <w:sz w:val="24"/>
                <w:szCs w:val="24"/>
              </w:rPr>
            </w:pPr>
            <w:r>
              <w:rPr>
                <w:sz w:val="24"/>
                <w:szCs w:val="24"/>
              </w:rPr>
              <w:t>1029 - 1429</w:t>
            </w:r>
          </w:p>
        </w:tc>
        <w:tc>
          <w:tcPr>
            <w:tcW w:w="2431" w:type="dxa"/>
            <w:tcBorders>
              <w:top w:val="single" w:sz="6" w:space="0" w:color="000000"/>
              <w:left w:val="single" w:sz="6" w:space="0" w:color="000000"/>
              <w:bottom w:val="single" w:sz="8" w:space="0" w:color="000000"/>
              <w:right w:val="single" w:sz="8" w:space="0" w:color="000000"/>
            </w:tcBorders>
          </w:tcPr>
          <w:p w:rsidR="00750112" w:rsidRPr="00A8370F" w:rsidRDefault="00750112" w:rsidP="00750112">
            <w:pPr>
              <w:pStyle w:val="NoSpacing"/>
              <w:rPr>
                <w:sz w:val="24"/>
                <w:szCs w:val="24"/>
              </w:rPr>
            </w:pPr>
            <w:r w:rsidRPr="00A8370F">
              <w:rPr>
                <w:sz w:val="24"/>
                <w:szCs w:val="24"/>
              </w:rPr>
              <w:t>205.8</w:t>
            </w:r>
          </w:p>
        </w:tc>
      </w:tr>
      <w:tr w:rsidR="00750112" w:rsidRPr="00F872CC" w:rsidTr="00750112">
        <w:trPr>
          <w:trHeight w:val="266"/>
        </w:trPr>
        <w:tc>
          <w:tcPr>
            <w:tcW w:w="4460" w:type="dxa"/>
            <w:tcBorders>
              <w:top w:val="single" w:sz="6" w:space="0" w:color="000000"/>
              <w:left w:val="single" w:sz="8" w:space="0" w:color="000000"/>
              <w:bottom w:val="single" w:sz="8" w:space="0" w:color="000000"/>
              <w:right w:val="single" w:sz="8" w:space="0" w:color="000000"/>
            </w:tcBorders>
          </w:tcPr>
          <w:p w:rsidR="00750112" w:rsidRPr="00A8370F" w:rsidRDefault="00750112" w:rsidP="00750112">
            <w:pPr>
              <w:pStyle w:val="NoSpacing"/>
              <w:rPr>
                <w:sz w:val="24"/>
                <w:szCs w:val="24"/>
              </w:rPr>
            </w:pPr>
            <w:r>
              <w:rPr>
                <w:sz w:val="24"/>
                <w:szCs w:val="24"/>
              </w:rPr>
              <w:t>1430 - 2000</w:t>
            </w:r>
          </w:p>
        </w:tc>
        <w:tc>
          <w:tcPr>
            <w:tcW w:w="2431" w:type="dxa"/>
            <w:tcBorders>
              <w:top w:val="single" w:sz="6" w:space="0" w:color="000000"/>
              <w:left w:val="single" w:sz="6" w:space="0" w:color="000000"/>
              <w:bottom w:val="single" w:sz="8" w:space="0" w:color="000000"/>
              <w:right w:val="single" w:sz="8" w:space="0" w:color="000000"/>
            </w:tcBorders>
          </w:tcPr>
          <w:p w:rsidR="00750112" w:rsidRPr="00A8370F" w:rsidRDefault="00750112" w:rsidP="00750112">
            <w:pPr>
              <w:pStyle w:val="NoSpacing"/>
              <w:rPr>
                <w:sz w:val="24"/>
                <w:szCs w:val="24"/>
              </w:rPr>
            </w:pPr>
            <w:r w:rsidRPr="00A8370F">
              <w:rPr>
                <w:sz w:val="24"/>
                <w:szCs w:val="24"/>
              </w:rPr>
              <w:t>204.0</w:t>
            </w:r>
          </w:p>
        </w:tc>
      </w:tr>
      <w:tr w:rsidR="00750112" w:rsidRPr="00F872CC" w:rsidTr="00750112">
        <w:trPr>
          <w:trHeight w:val="266"/>
        </w:trPr>
        <w:tc>
          <w:tcPr>
            <w:tcW w:w="4460" w:type="dxa"/>
            <w:tcBorders>
              <w:top w:val="single" w:sz="6" w:space="0" w:color="000000"/>
              <w:left w:val="single" w:sz="8" w:space="0" w:color="000000"/>
              <w:bottom w:val="single" w:sz="8" w:space="0" w:color="000000"/>
              <w:right w:val="single" w:sz="8" w:space="0" w:color="000000"/>
            </w:tcBorders>
          </w:tcPr>
          <w:p w:rsidR="00750112" w:rsidRPr="00A8370F" w:rsidRDefault="00750112" w:rsidP="00750112">
            <w:pPr>
              <w:pStyle w:val="NoSpacing"/>
              <w:rPr>
                <w:sz w:val="24"/>
                <w:szCs w:val="24"/>
              </w:rPr>
            </w:pPr>
            <w:r>
              <w:rPr>
                <w:sz w:val="24"/>
                <w:szCs w:val="24"/>
              </w:rPr>
              <w:t>2001 - 2286</w:t>
            </w:r>
          </w:p>
        </w:tc>
        <w:tc>
          <w:tcPr>
            <w:tcW w:w="2431" w:type="dxa"/>
            <w:tcBorders>
              <w:top w:val="single" w:sz="6" w:space="0" w:color="000000"/>
              <w:left w:val="single" w:sz="6" w:space="0" w:color="000000"/>
              <w:bottom w:val="single" w:sz="8" w:space="0" w:color="000000"/>
              <w:right w:val="single" w:sz="8" w:space="0" w:color="000000"/>
            </w:tcBorders>
          </w:tcPr>
          <w:p w:rsidR="00750112" w:rsidRPr="00A8370F" w:rsidRDefault="00750112" w:rsidP="00750112">
            <w:pPr>
              <w:pStyle w:val="NoSpacing"/>
              <w:rPr>
                <w:sz w:val="24"/>
                <w:szCs w:val="24"/>
              </w:rPr>
            </w:pPr>
            <w:r w:rsidRPr="00A8370F">
              <w:rPr>
                <w:sz w:val="24"/>
                <w:szCs w:val="24"/>
              </w:rPr>
              <w:t>202.3</w:t>
            </w:r>
          </w:p>
        </w:tc>
      </w:tr>
      <w:tr w:rsidR="00750112" w:rsidRPr="00F872CC" w:rsidTr="00750112">
        <w:trPr>
          <w:trHeight w:val="266"/>
        </w:trPr>
        <w:tc>
          <w:tcPr>
            <w:tcW w:w="4460" w:type="dxa"/>
            <w:tcBorders>
              <w:top w:val="single" w:sz="6" w:space="0" w:color="000000"/>
              <w:left w:val="single" w:sz="8" w:space="0" w:color="000000"/>
              <w:bottom w:val="single" w:sz="8" w:space="0" w:color="000000"/>
              <w:right w:val="single" w:sz="8" w:space="0" w:color="000000"/>
            </w:tcBorders>
          </w:tcPr>
          <w:p w:rsidR="00750112" w:rsidRPr="00A8370F" w:rsidRDefault="00750112" w:rsidP="00750112">
            <w:pPr>
              <w:pStyle w:val="NoSpacing"/>
              <w:rPr>
                <w:sz w:val="24"/>
                <w:szCs w:val="24"/>
              </w:rPr>
            </w:pPr>
            <w:r>
              <w:rPr>
                <w:sz w:val="24"/>
                <w:szCs w:val="24"/>
              </w:rPr>
              <w:t>2287 - 2857</w:t>
            </w:r>
          </w:p>
        </w:tc>
        <w:tc>
          <w:tcPr>
            <w:tcW w:w="2431" w:type="dxa"/>
            <w:tcBorders>
              <w:top w:val="single" w:sz="6" w:space="0" w:color="000000"/>
              <w:left w:val="single" w:sz="6" w:space="0" w:color="000000"/>
              <w:bottom w:val="single" w:sz="8" w:space="0" w:color="000000"/>
              <w:right w:val="single" w:sz="8" w:space="0" w:color="000000"/>
            </w:tcBorders>
          </w:tcPr>
          <w:p w:rsidR="00750112" w:rsidRPr="00A8370F" w:rsidRDefault="00750112" w:rsidP="00750112">
            <w:pPr>
              <w:pStyle w:val="NoSpacing"/>
              <w:rPr>
                <w:sz w:val="24"/>
                <w:szCs w:val="24"/>
              </w:rPr>
            </w:pPr>
            <w:r w:rsidRPr="00A8370F">
              <w:rPr>
                <w:sz w:val="24"/>
                <w:szCs w:val="24"/>
              </w:rPr>
              <w:t>200.8</w:t>
            </w:r>
          </w:p>
        </w:tc>
      </w:tr>
      <w:tr w:rsidR="00750112" w:rsidRPr="00F872CC" w:rsidTr="00750112">
        <w:trPr>
          <w:trHeight w:val="266"/>
        </w:trPr>
        <w:tc>
          <w:tcPr>
            <w:tcW w:w="4460" w:type="dxa"/>
            <w:tcBorders>
              <w:top w:val="single" w:sz="6" w:space="0" w:color="000000"/>
              <w:left w:val="single" w:sz="8" w:space="0" w:color="000000"/>
              <w:bottom w:val="single" w:sz="8" w:space="0" w:color="000000"/>
              <w:right w:val="single" w:sz="8" w:space="0" w:color="000000"/>
            </w:tcBorders>
          </w:tcPr>
          <w:p w:rsidR="00750112" w:rsidRPr="00A8370F" w:rsidRDefault="00750112" w:rsidP="00750112">
            <w:pPr>
              <w:pStyle w:val="NoSpacing"/>
              <w:rPr>
                <w:sz w:val="24"/>
                <w:szCs w:val="24"/>
              </w:rPr>
            </w:pPr>
            <w:r>
              <w:rPr>
                <w:sz w:val="24"/>
                <w:szCs w:val="24"/>
              </w:rPr>
              <w:t>2858 - 3428</w:t>
            </w:r>
          </w:p>
        </w:tc>
        <w:tc>
          <w:tcPr>
            <w:tcW w:w="2431" w:type="dxa"/>
            <w:tcBorders>
              <w:top w:val="single" w:sz="6" w:space="0" w:color="000000"/>
              <w:left w:val="single" w:sz="6" w:space="0" w:color="000000"/>
              <w:bottom w:val="single" w:sz="8" w:space="0" w:color="000000"/>
              <w:right w:val="single" w:sz="8" w:space="0" w:color="000000"/>
            </w:tcBorders>
          </w:tcPr>
          <w:p w:rsidR="00750112" w:rsidRPr="00A8370F" w:rsidRDefault="00750112" w:rsidP="00750112">
            <w:pPr>
              <w:pStyle w:val="NoSpacing"/>
              <w:rPr>
                <w:sz w:val="24"/>
                <w:szCs w:val="24"/>
              </w:rPr>
            </w:pPr>
            <w:r w:rsidRPr="00A8370F">
              <w:rPr>
                <w:sz w:val="24"/>
                <w:szCs w:val="24"/>
              </w:rPr>
              <w:t>199.4</w:t>
            </w:r>
          </w:p>
        </w:tc>
      </w:tr>
      <w:tr w:rsidR="00750112" w:rsidRPr="00F872CC" w:rsidTr="00750112">
        <w:trPr>
          <w:trHeight w:val="266"/>
        </w:trPr>
        <w:tc>
          <w:tcPr>
            <w:tcW w:w="4460" w:type="dxa"/>
            <w:tcBorders>
              <w:top w:val="single" w:sz="6" w:space="0" w:color="000000"/>
              <w:left w:val="single" w:sz="8" w:space="0" w:color="000000"/>
              <w:bottom w:val="single" w:sz="8" w:space="0" w:color="000000"/>
              <w:right w:val="single" w:sz="8" w:space="0" w:color="000000"/>
            </w:tcBorders>
          </w:tcPr>
          <w:p w:rsidR="00750112" w:rsidRPr="00A8370F" w:rsidRDefault="00750112" w:rsidP="00750112">
            <w:pPr>
              <w:pStyle w:val="NoSpacing"/>
              <w:rPr>
                <w:sz w:val="24"/>
                <w:szCs w:val="24"/>
              </w:rPr>
            </w:pPr>
            <w:r>
              <w:rPr>
                <w:sz w:val="24"/>
                <w:szCs w:val="24"/>
              </w:rPr>
              <w:t>3429 - 4000</w:t>
            </w:r>
          </w:p>
        </w:tc>
        <w:tc>
          <w:tcPr>
            <w:tcW w:w="2431" w:type="dxa"/>
            <w:tcBorders>
              <w:top w:val="single" w:sz="6" w:space="0" w:color="000000"/>
              <w:left w:val="single" w:sz="6" w:space="0" w:color="000000"/>
              <w:bottom w:val="single" w:sz="8" w:space="0" w:color="000000"/>
              <w:right w:val="single" w:sz="8" w:space="0" w:color="000000"/>
            </w:tcBorders>
          </w:tcPr>
          <w:p w:rsidR="00750112" w:rsidRPr="00A8370F" w:rsidRDefault="00750112" w:rsidP="00750112">
            <w:pPr>
              <w:pStyle w:val="NoSpacing"/>
              <w:rPr>
                <w:sz w:val="24"/>
                <w:szCs w:val="24"/>
              </w:rPr>
            </w:pPr>
            <w:r w:rsidRPr="00A8370F">
              <w:rPr>
                <w:sz w:val="24"/>
                <w:szCs w:val="24"/>
              </w:rPr>
              <w:t>198.3</w:t>
            </w:r>
          </w:p>
        </w:tc>
      </w:tr>
      <w:tr w:rsidR="00750112" w:rsidRPr="00F872CC" w:rsidTr="00750112">
        <w:trPr>
          <w:trHeight w:val="266"/>
        </w:trPr>
        <w:tc>
          <w:tcPr>
            <w:tcW w:w="4460" w:type="dxa"/>
            <w:tcBorders>
              <w:top w:val="single" w:sz="6" w:space="0" w:color="000000"/>
              <w:left w:val="single" w:sz="8" w:space="0" w:color="000000"/>
              <w:bottom w:val="single" w:sz="6" w:space="0" w:color="000000"/>
              <w:right w:val="single" w:sz="8" w:space="0" w:color="000000"/>
            </w:tcBorders>
          </w:tcPr>
          <w:p w:rsidR="00750112" w:rsidRPr="00A8370F" w:rsidRDefault="00750112" w:rsidP="00750112">
            <w:pPr>
              <w:pStyle w:val="NoSpacing"/>
              <w:rPr>
                <w:sz w:val="24"/>
                <w:szCs w:val="24"/>
              </w:rPr>
            </w:pPr>
            <w:r>
              <w:rPr>
                <w:sz w:val="24"/>
                <w:szCs w:val="24"/>
              </w:rPr>
              <w:t>4001 - 4569</w:t>
            </w:r>
          </w:p>
        </w:tc>
        <w:tc>
          <w:tcPr>
            <w:tcW w:w="2431" w:type="dxa"/>
            <w:tcBorders>
              <w:top w:val="single" w:sz="6" w:space="0" w:color="000000"/>
              <w:left w:val="single" w:sz="6" w:space="0" w:color="000000"/>
              <w:bottom w:val="single" w:sz="6" w:space="0" w:color="000000"/>
              <w:right w:val="single" w:sz="8" w:space="0" w:color="000000"/>
            </w:tcBorders>
          </w:tcPr>
          <w:p w:rsidR="00750112" w:rsidRPr="00A8370F" w:rsidRDefault="00750112" w:rsidP="00750112">
            <w:pPr>
              <w:pStyle w:val="NoSpacing"/>
              <w:rPr>
                <w:sz w:val="24"/>
                <w:szCs w:val="24"/>
              </w:rPr>
            </w:pPr>
            <w:r w:rsidRPr="00A8370F">
              <w:rPr>
                <w:sz w:val="24"/>
                <w:szCs w:val="24"/>
              </w:rPr>
              <w:t>197.3</w:t>
            </w:r>
          </w:p>
        </w:tc>
      </w:tr>
      <w:tr w:rsidR="00750112" w:rsidRPr="00F872CC" w:rsidTr="00750112">
        <w:trPr>
          <w:trHeight w:val="266"/>
        </w:trPr>
        <w:tc>
          <w:tcPr>
            <w:tcW w:w="4460" w:type="dxa"/>
            <w:tcBorders>
              <w:top w:val="single" w:sz="6" w:space="0" w:color="000000"/>
              <w:left w:val="single" w:sz="8" w:space="0" w:color="000000"/>
              <w:bottom w:val="single" w:sz="8" w:space="0" w:color="000000"/>
              <w:right w:val="single" w:sz="8" w:space="0" w:color="000000"/>
            </w:tcBorders>
          </w:tcPr>
          <w:p w:rsidR="00750112" w:rsidRPr="00A8370F" w:rsidRDefault="00750112" w:rsidP="00750112">
            <w:pPr>
              <w:pStyle w:val="NoSpacing"/>
              <w:rPr>
                <w:sz w:val="24"/>
                <w:szCs w:val="24"/>
              </w:rPr>
            </w:pPr>
            <w:r>
              <w:rPr>
                <w:sz w:val="24"/>
                <w:szCs w:val="24"/>
              </w:rPr>
              <w:t>4570 and over</w:t>
            </w:r>
          </w:p>
        </w:tc>
        <w:tc>
          <w:tcPr>
            <w:tcW w:w="2431" w:type="dxa"/>
            <w:tcBorders>
              <w:top w:val="single" w:sz="6" w:space="0" w:color="000000"/>
              <w:left w:val="single" w:sz="6" w:space="0" w:color="000000"/>
              <w:bottom w:val="single" w:sz="8" w:space="0" w:color="000000"/>
              <w:right w:val="single" w:sz="8" w:space="0" w:color="000000"/>
            </w:tcBorders>
          </w:tcPr>
          <w:p w:rsidR="00750112" w:rsidRPr="00A8370F" w:rsidRDefault="00750112" w:rsidP="00750112">
            <w:pPr>
              <w:pStyle w:val="NoSpacing"/>
              <w:rPr>
                <w:sz w:val="24"/>
                <w:szCs w:val="24"/>
              </w:rPr>
            </w:pPr>
            <w:r w:rsidRPr="00A8370F">
              <w:rPr>
                <w:sz w:val="24"/>
                <w:szCs w:val="24"/>
              </w:rPr>
              <w:t>196.6</w:t>
            </w:r>
          </w:p>
        </w:tc>
      </w:tr>
    </w:tbl>
    <w:p w:rsidR="00CB41C9" w:rsidRDefault="00750112" w:rsidP="00750112">
      <w:pPr>
        <w:pStyle w:val="NoSpacing"/>
        <w:rPr>
          <w:rFonts w:cstheme="minorHAnsi"/>
          <w:sz w:val="28"/>
        </w:rPr>
      </w:pPr>
      <w:r>
        <w:t xml:space="preserve">* </w:t>
      </w:r>
      <w:r w:rsidRPr="00AC1834">
        <w:rPr>
          <w:rFonts w:cstheme="minorHAnsi"/>
          <w:sz w:val="20"/>
        </w:rPr>
        <w:t xml:space="preserve">This includes prescribing doctors or non-dispensing doctors’ </w:t>
      </w:r>
      <w:r>
        <w:rPr>
          <w:rFonts w:cstheme="minorHAnsi"/>
          <w:sz w:val="20"/>
        </w:rPr>
        <w:t xml:space="preserve">personal administration drugs. </w:t>
      </w:r>
    </w:p>
    <w:sectPr w:rsidR="00CB41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F0659"/>
    <w:multiLevelType w:val="hybridMultilevel"/>
    <w:tmpl w:val="83B06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3841ADF"/>
    <w:multiLevelType w:val="hybridMultilevel"/>
    <w:tmpl w:val="28FCD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E37716E"/>
    <w:multiLevelType w:val="hybridMultilevel"/>
    <w:tmpl w:val="9C62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3F5BA0"/>
    <w:multiLevelType w:val="hybridMultilevel"/>
    <w:tmpl w:val="8FF8B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E98"/>
    <w:rsid w:val="000A0DD3"/>
    <w:rsid w:val="000B048B"/>
    <w:rsid w:val="0019715A"/>
    <w:rsid w:val="00200E34"/>
    <w:rsid w:val="00201E98"/>
    <w:rsid w:val="00237A8A"/>
    <w:rsid w:val="00283E94"/>
    <w:rsid w:val="002B7BE5"/>
    <w:rsid w:val="002F51C5"/>
    <w:rsid w:val="003A3497"/>
    <w:rsid w:val="003F429A"/>
    <w:rsid w:val="00454CD2"/>
    <w:rsid w:val="00467AD5"/>
    <w:rsid w:val="00535AA8"/>
    <w:rsid w:val="00572561"/>
    <w:rsid w:val="00583823"/>
    <w:rsid w:val="005859E5"/>
    <w:rsid w:val="005C4F49"/>
    <w:rsid w:val="006D4D0A"/>
    <w:rsid w:val="0072008E"/>
    <w:rsid w:val="007319D6"/>
    <w:rsid w:val="00750112"/>
    <w:rsid w:val="007F0968"/>
    <w:rsid w:val="00804466"/>
    <w:rsid w:val="008C300F"/>
    <w:rsid w:val="008D6F87"/>
    <w:rsid w:val="00981E05"/>
    <w:rsid w:val="009D0996"/>
    <w:rsid w:val="009F4847"/>
    <w:rsid w:val="00AA73E5"/>
    <w:rsid w:val="00AB3655"/>
    <w:rsid w:val="00AE2E40"/>
    <w:rsid w:val="00BE74F3"/>
    <w:rsid w:val="00C41A17"/>
    <w:rsid w:val="00C87121"/>
    <w:rsid w:val="00C90D2F"/>
    <w:rsid w:val="00CB41C9"/>
    <w:rsid w:val="00CB51AA"/>
    <w:rsid w:val="00CF5B86"/>
    <w:rsid w:val="00D275A5"/>
    <w:rsid w:val="00D36ADC"/>
    <w:rsid w:val="00DA5309"/>
    <w:rsid w:val="00DB6EC0"/>
    <w:rsid w:val="00DC6641"/>
    <w:rsid w:val="00E07671"/>
    <w:rsid w:val="00E2060E"/>
    <w:rsid w:val="00E75126"/>
    <w:rsid w:val="00EB67BF"/>
    <w:rsid w:val="00EE18A8"/>
    <w:rsid w:val="00FB4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1E98"/>
    <w:pPr>
      <w:spacing w:after="0" w:line="240" w:lineRule="auto"/>
    </w:pPr>
  </w:style>
  <w:style w:type="character" w:styleId="Hyperlink">
    <w:name w:val="Hyperlink"/>
    <w:basedOn w:val="DefaultParagraphFont"/>
    <w:uiPriority w:val="99"/>
    <w:unhideWhenUsed/>
    <w:rsid w:val="00D36ADC"/>
    <w:rPr>
      <w:color w:val="0563C1" w:themeColor="hyperlink"/>
      <w:u w:val="single"/>
    </w:rPr>
  </w:style>
  <w:style w:type="character" w:customStyle="1" w:styleId="UnresolvedMention">
    <w:name w:val="Unresolved Mention"/>
    <w:basedOn w:val="DefaultParagraphFont"/>
    <w:uiPriority w:val="99"/>
    <w:semiHidden/>
    <w:unhideWhenUsed/>
    <w:rsid w:val="00D36ADC"/>
    <w:rPr>
      <w:color w:val="808080"/>
      <w:shd w:val="clear" w:color="auto" w:fill="E6E6E6"/>
    </w:rPr>
  </w:style>
  <w:style w:type="table" w:styleId="TableGrid">
    <w:name w:val="Table Grid"/>
    <w:basedOn w:val="TableNormal"/>
    <w:uiPriority w:val="59"/>
    <w:rsid w:val="006D4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6D4D0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6">
    <w:name w:val="Normal+6"/>
    <w:basedOn w:val="Normal"/>
    <w:next w:val="Normal"/>
    <w:uiPriority w:val="99"/>
    <w:rsid w:val="00750112"/>
    <w:pPr>
      <w:autoSpaceDE w:val="0"/>
      <w:autoSpaceDN w:val="0"/>
      <w:adjustRightInd w:val="0"/>
      <w:spacing w:after="0" w:line="240" w:lineRule="auto"/>
    </w:pPr>
    <w:rPr>
      <w:rFonts w:ascii="Arial" w:eastAsia="Calibri" w:hAnsi="Arial" w:cs="Arial"/>
      <w:sz w:val="24"/>
      <w:szCs w:val="24"/>
      <w:lang w:val="en-US"/>
    </w:rPr>
  </w:style>
  <w:style w:type="paragraph" w:styleId="BalloonText">
    <w:name w:val="Balloon Text"/>
    <w:basedOn w:val="Normal"/>
    <w:link w:val="BalloonTextChar"/>
    <w:uiPriority w:val="99"/>
    <w:semiHidden/>
    <w:unhideWhenUsed/>
    <w:rsid w:val="00DC6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6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1E98"/>
    <w:pPr>
      <w:spacing w:after="0" w:line="240" w:lineRule="auto"/>
    </w:pPr>
  </w:style>
  <w:style w:type="character" w:styleId="Hyperlink">
    <w:name w:val="Hyperlink"/>
    <w:basedOn w:val="DefaultParagraphFont"/>
    <w:uiPriority w:val="99"/>
    <w:unhideWhenUsed/>
    <w:rsid w:val="00D36ADC"/>
    <w:rPr>
      <w:color w:val="0563C1" w:themeColor="hyperlink"/>
      <w:u w:val="single"/>
    </w:rPr>
  </w:style>
  <w:style w:type="character" w:customStyle="1" w:styleId="UnresolvedMention">
    <w:name w:val="Unresolved Mention"/>
    <w:basedOn w:val="DefaultParagraphFont"/>
    <w:uiPriority w:val="99"/>
    <w:semiHidden/>
    <w:unhideWhenUsed/>
    <w:rsid w:val="00D36ADC"/>
    <w:rPr>
      <w:color w:val="808080"/>
      <w:shd w:val="clear" w:color="auto" w:fill="E6E6E6"/>
    </w:rPr>
  </w:style>
  <w:style w:type="table" w:styleId="TableGrid">
    <w:name w:val="Table Grid"/>
    <w:basedOn w:val="TableNormal"/>
    <w:uiPriority w:val="59"/>
    <w:rsid w:val="006D4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6D4D0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6">
    <w:name w:val="Normal+6"/>
    <w:basedOn w:val="Normal"/>
    <w:next w:val="Normal"/>
    <w:uiPriority w:val="99"/>
    <w:rsid w:val="00750112"/>
    <w:pPr>
      <w:autoSpaceDE w:val="0"/>
      <w:autoSpaceDN w:val="0"/>
      <w:adjustRightInd w:val="0"/>
      <w:spacing w:after="0" w:line="240" w:lineRule="auto"/>
    </w:pPr>
    <w:rPr>
      <w:rFonts w:ascii="Arial" w:eastAsia="Calibri" w:hAnsi="Arial" w:cs="Arial"/>
      <w:sz w:val="24"/>
      <w:szCs w:val="24"/>
      <w:lang w:val="en-US"/>
    </w:rPr>
  </w:style>
  <w:style w:type="paragraph" w:styleId="BalloonText">
    <w:name w:val="Balloon Text"/>
    <w:basedOn w:val="Normal"/>
    <w:link w:val="BalloonTextChar"/>
    <w:uiPriority w:val="99"/>
    <w:semiHidden/>
    <w:unhideWhenUsed/>
    <w:rsid w:val="00DC6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6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80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cinesuk@pfizer.com" TargetMode="External"/><Relationship Id="rId3" Type="http://schemas.microsoft.com/office/2007/relationships/stylesWithEffects" Target="stylesWithEffects.xml"/><Relationship Id="rId7" Type="http://schemas.openxmlformats.org/officeDocument/2006/relationships/hyperlink" Target="mailto:info@lmcbuyinggroups.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luteam@masta.org" TargetMode="External"/><Relationship Id="rId4" Type="http://schemas.openxmlformats.org/officeDocument/2006/relationships/settings" Target="settings.xml"/><Relationship Id="rId9" Type="http://schemas.openxmlformats.org/officeDocument/2006/relationships/hyperlink" Target="mailto:flu.salesuk@seqir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1951</Words>
  <Characters>11125</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Shuker</dc:creator>
  <cp:lastModifiedBy>Hellens Jill (Somerset LMC)</cp:lastModifiedBy>
  <cp:revision>2</cp:revision>
  <dcterms:created xsi:type="dcterms:W3CDTF">2017-10-25T09:28:00Z</dcterms:created>
  <dcterms:modified xsi:type="dcterms:W3CDTF">2017-10-25T09:28:00Z</dcterms:modified>
</cp:coreProperties>
</file>