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6F" w:rsidRDefault="00235F6F">
      <w:bookmarkStart w:id="0" w:name="_GoBack"/>
      <w:bookmarkEnd w:id="0"/>
    </w:p>
    <w:tbl>
      <w:tblPr>
        <w:tblStyle w:val="TableGrid"/>
        <w:tblpPr w:leftFromText="181" w:rightFromText="181" w:vertAnchor="text" w:horzAnchor="margin" w:tblpY="-6551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235F6F" w:rsidTr="00900CDF">
        <w:trPr>
          <w:trHeight w:val="6344"/>
        </w:trPr>
        <w:tc>
          <w:tcPr>
            <w:tcW w:w="9691" w:type="dxa"/>
          </w:tcPr>
          <w:p w:rsidR="00235F6F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b/>
                <w:sz w:val="44"/>
                <w:szCs w:val="44"/>
              </w:rPr>
            </w:pPr>
          </w:p>
          <w:p w:rsidR="00235F6F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b/>
                <w:sz w:val="44"/>
                <w:szCs w:val="44"/>
              </w:rPr>
            </w:pPr>
          </w:p>
          <w:p w:rsidR="00235F6F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b/>
                <w:sz w:val="44"/>
                <w:szCs w:val="44"/>
              </w:rPr>
            </w:pPr>
          </w:p>
          <w:p w:rsidR="00235F6F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b/>
                <w:sz w:val="44"/>
                <w:szCs w:val="44"/>
              </w:rPr>
            </w:pPr>
          </w:p>
          <w:p w:rsidR="00235F6F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b/>
                <w:sz w:val="44"/>
                <w:szCs w:val="44"/>
              </w:rPr>
            </w:pPr>
          </w:p>
          <w:p w:rsidR="00235F6F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CircleBath</w:t>
            </w:r>
            <w:proofErr w:type="spellEnd"/>
            <w:r>
              <w:rPr>
                <w:b/>
                <w:sz w:val="44"/>
                <w:szCs w:val="44"/>
              </w:rPr>
              <w:t xml:space="preserve"> hospital</w:t>
            </w:r>
          </w:p>
          <w:p w:rsidR="00235F6F" w:rsidRPr="007F416A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b/>
                <w:sz w:val="24"/>
                <w:szCs w:val="24"/>
              </w:rPr>
            </w:pPr>
            <w:r w:rsidRPr="007F416A">
              <w:rPr>
                <w:b/>
                <w:sz w:val="24"/>
                <w:szCs w:val="24"/>
              </w:rPr>
              <w:t>Complimentary education session</w:t>
            </w:r>
          </w:p>
          <w:p w:rsidR="00235F6F" w:rsidRPr="00773350" w:rsidRDefault="00235F6F" w:rsidP="00235F6F">
            <w:pPr>
              <w:jc w:val="center"/>
            </w:pPr>
          </w:p>
          <w:p w:rsidR="00235F6F" w:rsidRPr="00AF7C50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sz w:val="44"/>
                <w:szCs w:val="44"/>
              </w:rPr>
            </w:pPr>
            <w:r w:rsidRPr="00AF7C50">
              <w:rPr>
                <w:sz w:val="44"/>
                <w:szCs w:val="44"/>
              </w:rPr>
              <w:t>Thursday 4</w:t>
            </w:r>
            <w:r w:rsidRPr="00AF7C50">
              <w:rPr>
                <w:sz w:val="44"/>
                <w:szCs w:val="44"/>
                <w:vertAlign w:val="superscript"/>
              </w:rPr>
              <w:t>th</w:t>
            </w:r>
            <w:r w:rsidRPr="00AF7C50">
              <w:rPr>
                <w:sz w:val="44"/>
                <w:szCs w:val="44"/>
              </w:rPr>
              <w:t xml:space="preserve"> May 2017</w:t>
            </w:r>
          </w:p>
          <w:p w:rsidR="00235F6F" w:rsidRPr="00AF7C50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sz w:val="44"/>
                <w:szCs w:val="44"/>
              </w:rPr>
            </w:pPr>
            <w:r w:rsidRPr="00AF7C50">
              <w:rPr>
                <w:sz w:val="44"/>
                <w:szCs w:val="44"/>
              </w:rPr>
              <w:t>Haynes Motor Museum</w:t>
            </w:r>
          </w:p>
          <w:p w:rsidR="00235F6F" w:rsidRPr="00773350" w:rsidRDefault="00235F6F" w:rsidP="00235F6F">
            <w:pPr>
              <w:pStyle w:val="Heading1"/>
              <w:framePr w:hSpace="0" w:wrap="auto" w:vAnchor="margin" w:hAnchor="text" w:yAlign="inline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73350">
              <w:rPr>
                <w:sz w:val="28"/>
                <w:szCs w:val="28"/>
              </w:rPr>
              <w:t>Sparkford</w:t>
            </w:r>
            <w:proofErr w:type="spellEnd"/>
            <w:r w:rsidRPr="00773350">
              <w:rPr>
                <w:sz w:val="28"/>
                <w:szCs w:val="28"/>
              </w:rPr>
              <w:t>, Yeovil BA22 7LH</w:t>
            </w:r>
          </w:p>
          <w:p w:rsidR="00235F6F" w:rsidRPr="00773350" w:rsidRDefault="00235F6F" w:rsidP="00235F6F"/>
          <w:p w:rsidR="0021079C" w:rsidRDefault="0021079C" w:rsidP="0021079C">
            <w:pPr>
              <w:pStyle w:val="Heading1"/>
              <w:framePr w:hSpace="0" w:wrap="auto" w:vAnchor="margin" w:hAnchor="text" w:yAlign="inline"/>
              <w:ind w:left="1440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13:30 – 14:00   Registration &amp; Lunch</w:t>
            </w:r>
          </w:p>
          <w:p w:rsidR="0021079C" w:rsidRDefault="0021079C" w:rsidP="0021079C">
            <w:pPr>
              <w:pStyle w:val="Heading1"/>
              <w:framePr w:hSpace="0" w:wrap="auto" w:vAnchor="margin" w:hAnchor="text" w:yAlign="inline"/>
              <w:ind w:left="1440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14:00 – 16:</w:t>
            </w:r>
            <w:r w:rsidR="00900CDF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   Education Session</w:t>
            </w:r>
          </w:p>
          <w:p w:rsidR="0021079C" w:rsidRDefault="0021079C" w:rsidP="0021079C">
            <w:pPr>
              <w:pStyle w:val="Heading1"/>
              <w:framePr w:hSpace="0" w:wrap="auto" w:vAnchor="margin" w:hAnchor="text" w:yAlign="inline"/>
              <w:ind w:left="1440"/>
              <w:outlineLvl w:val="0"/>
              <w:rPr>
                <w:sz w:val="40"/>
                <w:szCs w:val="40"/>
              </w:rPr>
            </w:pPr>
          </w:p>
          <w:p w:rsidR="00235F6F" w:rsidRPr="00773350" w:rsidRDefault="00235F6F" w:rsidP="00235F6F"/>
        </w:tc>
      </w:tr>
    </w:tbl>
    <w:p w:rsidR="007F416A" w:rsidRPr="00235F6F" w:rsidRDefault="00773350" w:rsidP="00900CDF">
      <w:pPr>
        <w:spacing w:after="0" w:line="240" w:lineRule="auto"/>
        <w:jc w:val="center"/>
        <w:rPr>
          <w:rFonts w:ascii="Trebuchet MS" w:hAnsi="Trebuchet MS"/>
          <w:color w:val="5D2C13" w:themeColor="accent6" w:themeShade="80"/>
          <w:sz w:val="32"/>
          <w:szCs w:val="32"/>
        </w:rPr>
      </w:pPr>
      <w:r w:rsidRPr="00235F6F">
        <w:rPr>
          <w:rFonts w:ascii="Trebuchet MS" w:hAnsi="Trebuchet MS"/>
          <w:color w:val="5D2C13" w:themeColor="accent6" w:themeShade="80"/>
          <w:sz w:val="32"/>
          <w:szCs w:val="32"/>
        </w:rPr>
        <w:t>A shoulder to cry on- Differential diagnosis of shoulder pain</w:t>
      </w:r>
    </w:p>
    <w:p w:rsidR="00773350" w:rsidRPr="00235F6F" w:rsidRDefault="00773350" w:rsidP="007F416A">
      <w:pPr>
        <w:spacing w:after="0" w:line="240" w:lineRule="auto"/>
        <w:jc w:val="center"/>
        <w:rPr>
          <w:rFonts w:ascii="Trebuchet MS" w:hAnsi="Trebuchet MS"/>
          <w:color w:val="5D2C13" w:themeColor="accent6" w:themeShade="80"/>
          <w:sz w:val="28"/>
          <w:szCs w:val="28"/>
        </w:rPr>
      </w:pPr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 xml:space="preserve">Mr Andrew </w:t>
      </w:r>
      <w:proofErr w:type="spellStart"/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>Chambler</w:t>
      </w:r>
      <w:proofErr w:type="spellEnd"/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>, Consultant Shoulder Surgeon</w:t>
      </w:r>
    </w:p>
    <w:p w:rsidR="00773350" w:rsidRPr="00235F6F" w:rsidRDefault="00773350" w:rsidP="007F416A">
      <w:pPr>
        <w:spacing w:line="240" w:lineRule="auto"/>
        <w:rPr>
          <w:color w:val="5D2C13" w:themeColor="accent6" w:themeShade="80"/>
          <w:sz w:val="28"/>
          <w:szCs w:val="28"/>
        </w:rPr>
      </w:pPr>
    </w:p>
    <w:p w:rsidR="00477501" w:rsidRPr="00235F6F" w:rsidRDefault="00477501" w:rsidP="00477501">
      <w:pPr>
        <w:spacing w:after="0" w:line="240" w:lineRule="auto"/>
        <w:jc w:val="center"/>
        <w:rPr>
          <w:rFonts w:ascii="Trebuchet MS" w:hAnsi="Trebuchet MS"/>
          <w:color w:val="5D2C13" w:themeColor="accent6" w:themeShade="80"/>
          <w:sz w:val="32"/>
          <w:szCs w:val="32"/>
        </w:rPr>
      </w:pPr>
      <w:r w:rsidRPr="00235F6F">
        <w:rPr>
          <w:rFonts w:ascii="Trebuchet MS" w:hAnsi="Trebuchet MS"/>
          <w:color w:val="5D2C13" w:themeColor="accent6" w:themeShade="80"/>
          <w:sz w:val="32"/>
          <w:szCs w:val="32"/>
        </w:rPr>
        <w:t>Red flags – Is it a Shark or is it a Dolphin?</w:t>
      </w:r>
    </w:p>
    <w:p w:rsidR="00477501" w:rsidRDefault="00477501" w:rsidP="00477501">
      <w:pPr>
        <w:spacing w:line="240" w:lineRule="auto"/>
        <w:jc w:val="center"/>
        <w:rPr>
          <w:rFonts w:ascii="Trebuchet MS" w:hAnsi="Trebuchet MS"/>
          <w:color w:val="5D2C13" w:themeColor="accent6" w:themeShade="80"/>
          <w:sz w:val="28"/>
          <w:szCs w:val="28"/>
        </w:rPr>
      </w:pPr>
      <w:proofErr w:type="gramStart"/>
      <w:r w:rsidRPr="00886DF8">
        <w:rPr>
          <w:rFonts w:ascii="Trebuchet MS" w:hAnsi="Trebuchet MS"/>
          <w:i/>
          <w:color w:val="5D2C13" w:themeColor="accent6" w:themeShade="80"/>
          <w:sz w:val="32"/>
          <w:szCs w:val="32"/>
        </w:rPr>
        <w:t>and</w:t>
      </w:r>
      <w:proofErr w:type="gramEnd"/>
      <w:r>
        <w:rPr>
          <w:rFonts w:ascii="Trebuchet MS" w:hAnsi="Trebuchet MS"/>
          <w:color w:val="5D2C13" w:themeColor="accent6" w:themeShade="80"/>
          <w:sz w:val="32"/>
          <w:szCs w:val="32"/>
        </w:rPr>
        <w:t xml:space="preserve"> </w:t>
      </w:r>
      <w:r w:rsidRPr="00EE039F">
        <w:rPr>
          <w:rFonts w:ascii="Trebuchet MS" w:hAnsi="Trebuchet MS"/>
          <w:color w:val="5D2C13" w:themeColor="accent6" w:themeShade="80"/>
          <w:sz w:val="32"/>
          <w:szCs w:val="32"/>
        </w:rPr>
        <w:t>Back pain, the surgical perspective</w:t>
      </w:r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 xml:space="preserve"> </w:t>
      </w:r>
    </w:p>
    <w:p w:rsidR="00773350" w:rsidRPr="00235F6F" w:rsidRDefault="00773350" w:rsidP="00477501">
      <w:pPr>
        <w:spacing w:line="240" w:lineRule="auto"/>
        <w:jc w:val="center"/>
        <w:rPr>
          <w:rFonts w:ascii="Trebuchet MS" w:hAnsi="Trebuchet MS"/>
          <w:color w:val="5D2C13" w:themeColor="accent6" w:themeShade="80"/>
          <w:sz w:val="28"/>
          <w:szCs w:val="28"/>
        </w:rPr>
      </w:pPr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 xml:space="preserve">Mr Otto von </w:t>
      </w:r>
      <w:proofErr w:type="spellStart"/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>Arx</w:t>
      </w:r>
      <w:proofErr w:type="spellEnd"/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>, Consultant Spinal Surgeon</w:t>
      </w:r>
    </w:p>
    <w:p w:rsidR="00AB0EF7" w:rsidRPr="00235F6F" w:rsidRDefault="00AB0EF7" w:rsidP="007F416A">
      <w:pPr>
        <w:pStyle w:val="PlainText"/>
        <w:rPr>
          <w:color w:val="5D2C13" w:themeColor="accent6" w:themeShade="80"/>
        </w:rPr>
      </w:pPr>
    </w:p>
    <w:p w:rsidR="00773350" w:rsidRPr="00235F6F" w:rsidRDefault="00AB0EF7" w:rsidP="007F416A">
      <w:pPr>
        <w:spacing w:after="0" w:line="240" w:lineRule="auto"/>
        <w:jc w:val="center"/>
        <w:rPr>
          <w:rFonts w:ascii="Microsoft Sans Serif" w:hAnsi="Microsoft Sans Serif" w:cs="Arial"/>
          <w:color w:val="5D2C13" w:themeColor="accent6" w:themeShade="80"/>
          <w:sz w:val="32"/>
          <w:szCs w:val="32"/>
        </w:rPr>
      </w:pPr>
      <w:r w:rsidRPr="00235F6F">
        <w:rPr>
          <w:rFonts w:ascii="Trebuchet MS" w:hAnsi="Trebuchet MS"/>
          <w:color w:val="5D2C13" w:themeColor="accent6" w:themeShade="80"/>
          <w:sz w:val="32"/>
          <w:szCs w:val="32"/>
        </w:rPr>
        <w:t>Quick assessment of the hip and knee in adults – who to keep and who to refer</w:t>
      </w:r>
      <w:r w:rsidR="00773350" w:rsidRPr="00235F6F">
        <w:rPr>
          <w:rFonts w:ascii="Trebuchet MS" w:hAnsi="Trebuchet MS"/>
          <w:color w:val="5D2C13" w:themeColor="accent6" w:themeShade="80"/>
          <w:sz w:val="32"/>
          <w:szCs w:val="32"/>
        </w:rPr>
        <w:t xml:space="preserve"> </w:t>
      </w:r>
    </w:p>
    <w:p w:rsidR="00773350" w:rsidRPr="00235F6F" w:rsidRDefault="00773350" w:rsidP="007F416A">
      <w:pPr>
        <w:spacing w:line="240" w:lineRule="auto"/>
        <w:jc w:val="center"/>
        <w:rPr>
          <w:rFonts w:ascii="Trebuchet MS" w:hAnsi="Trebuchet MS"/>
          <w:color w:val="5D2C13" w:themeColor="accent6" w:themeShade="80"/>
          <w:sz w:val="28"/>
          <w:szCs w:val="28"/>
        </w:rPr>
      </w:pPr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 xml:space="preserve">Mr David </w:t>
      </w:r>
      <w:proofErr w:type="spellStart"/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>Shardlow</w:t>
      </w:r>
      <w:proofErr w:type="spellEnd"/>
      <w:r w:rsidRPr="00235F6F">
        <w:rPr>
          <w:rFonts w:ascii="Trebuchet MS" w:hAnsi="Trebuchet MS"/>
          <w:color w:val="5D2C13" w:themeColor="accent6" w:themeShade="80"/>
          <w:sz w:val="28"/>
          <w:szCs w:val="28"/>
        </w:rPr>
        <w:t>, Consultant Hip &amp; Knee Surgeon</w:t>
      </w:r>
    </w:p>
    <w:p w:rsidR="00FD0743" w:rsidRDefault="00FD0743" w:rsidP="00900CDF">
      <w:pPr>
        <w:tabs>
          <w:tab w:val="left" w:pos="8083"/>
        </w:tabs>
        <w:spacing w:line="240" w:lineRule="auto"/>
        <w:jc w:val="center"/>
        <w:rPr>
          <w:rFonts w:ascii="Trebuchet MS" w:hAnsi="Trebuchet MS"/>
          <w:color w:val="5D2C13" w:themeColor="accent6" w:themeShade="80"/>
          <w:sz w:val="32"/>
          <w:szCs w:val="32"/>
        </w:rPr>
      </w:pPr>
    </w:p>
    <w:p w:rsidR="00773350" w:rsidRDefault="00900CDF" w:rsidP="00900CDF">
      <w:pPr>
        <w:tabs>
          <w:tab w:val="left" w:pos="8083"/>
        </w:tabs>
        <w:spacing w:line="240" w:lineRule="auto"/>
        <w:jc w:val="center"/>
        <w:rPr>
          <w:rFonts w:ascii="Trebuchet MS" w:hAnsi="Trebuchet MS"/>
          <w:color w:val="5D2C13" w:themeColor="accent6" w:themeShade="80"/>
          <w:sz w:val="32"/>
          <w:szCs w:val="32"/>
        </w:rPr>
      </w:pPr>
      <w:r>
        <w:rPr>
          <w:rFonts w:ascii="Trebuchet MS" w:hAnsi="Trebuchet MS"/>
          <w:color w:val="5D2C13" w:themeColor="accent6" w:themeShade="80"/>
          <w:sz w:val="32"/>
          <w:szCs w:val="32"/>
        </w:rPr>
        <w:t>Question&amp; Answer session</w:t>
      </w:r>
    </w:p>
    <w:p w:rsidR="00235F6F" w:rsidRPr="00235F6F" w:rsidRDefault="00235F6F" w:rsidP="00900CDF">
      <w:pPr>
        <w:tabs>
          <w:tab w:val="left" w:pos="8083"/>
        </w:tabs>
        <w:spacing w:after="0" w:line="240" w:lineRule="auto"/>
        <w:ind w:left="2160"/>
        <w:rPr>
          <w:color w:val="5D2C13" w:themeColor="accent6" w:themeShade="80"/>
          <w:sz w:val="28"/>
          <w:szCs w:val="28"/>
        </w:rPr>
      </w:pPr>
      <w:r w:rsidRPr="00235F6F">
        <w:rPr>
          <w:color w:val="5D2C13" w:themeColor="accent6" w:themeShade="80"/>
          <w:sz w:val="28"/>
          <w:szCs w:val="28"/>
        </w:rPr>
        <w:t>At the end of the session you will have</w:t>
      </w:r>
    </w:p>
    <w:p w:rsidR="00235F6F" w:rsidRPr="00FD0743" w:rsidRDefault="00235F6F" w:rsidP="00235F6F">
      <w:pPr>
        <w:pStyle w:val="ListParagraph"/>
        <w:numPr>
          <w:ilvl w:val="0"/>
          <w:numId w:val="2"/>
        </w:numPr>
        <w:tabs>
          <w:tab w:val="left" w:pos="8083"/>
        </w:tabs>
        <w:spacing w:after="0" w:line="240" w:lineRule="auto"/>
        <w:rPr>
          <w:color w:val="5D2C13" w:themeColor="accent6" w:themeShade="80"/>
          <w:sz w:val="28"/>
          <w:szCs w:val="28"/>
        </w:rPr>
      </w:pPr>
      <w:r w:rsidRPr="00FD0743">
        <w:rPr>
          <w:color w:val="5D2C13" w:themeColor="accent6" w:themeShade="80"/>
          <w:sz w:val="28"/>
          <w:szCs w:val="28"/>
        </w:rPr>
        <w:t>a stronger understanding of common complaints</w:t>
      </w:r>
    </w:p>
    <w:p w:rsidR="00FD0743" w:rsidRDefault="00235F6F" w:rsidP="00FD0743">
      <w:pPr>
        <w:pStyle w:val="ListParagraph"/>
        <w:numPr>
          <w:ilvl w:val="0"/>
          <w:numId w:val="2"/>
        </w:numPr>
        <w:tabs>
          <w:tab w:val="left" w:pos="8083"/>
        </w:tabs>
        <w:spacing w:after="0" w:line="240" w:lineRule="auto"/>
        <w:rPr>
          <w:color w:val="5D2C13" w:themeColor="accent6" w:themeShade="80"/>
          <w:sz w:val="28"/>
          <w:szCs w:val="28"/>
        </w:rPr>
      </w:pPr>
      <w:r w:rsidRPr="00FD0743">
        <w:rPr>
          <w:color w:val="5D2C13" w:themeColor="accent6" w:themeShade="80"/>
          <w:sz w:val="28"/>
          <w:szCs w:val="28"/>
        </w:rPr>
        <w:t>useful tips and enhanced examination skills</w:t>
      </w:r>
    </w:p>
    <w:p w:rsidR="00900CDF" w:rsidRPr="00FD0743" w:rsidRDefault="00235F6F" w:rsidP="00FD0743">
      <w:pPr>
        <w:pStyle w:val="ListParagraph"/>
        <w:numPr>
          <w:ilvl w:val="0"/>
          <w:numId w:val="2"/>
        </w:numPr>
        <w:tabs>
          <w:tab w:val="left" w:pos="8083"/>
        </w:tabs>
        <w:spacing w:after="0" w:line="240" w:lineRule="auto"/>
        <w:rPr>
          <w:color w:val="5D2C13" w:themeColor="accent6" w:themeShade="80"/>
          <w:sz w:val="28"/>
          <w:szCs w:val="28"/>
        </w:rPr>
      </w:pPr>
      <w:r w:rsidRPr="00FD0743">
        <w:rPr>
          <w:color w:val="5D2C13" w:themeColor="accent6" w:themeShade="80"/>
          <w:sz w:val="28"/>
          <w:szCs w:val="28"/>
        </w:rPr>
        <w:t>which patients to retain and which to refer</w:t>
      </w:r>
    </w:p>
    <w:p w:rsidR="00900CDF" w:rsidRDefault="00900CDF" w:rsidP="00900CDF">
      <w:pPr>
        <w:pStyle w:val="ListParagraph"/>
        <w:tabs>
          <w:tab w:val="left" w:pos="8083"/>
        </w:tabs>
        <w:spacing w:after="0" w:line="240" w:lineRule="auto"/>
        <w:ind w:left="0"/>
        <w:jc w:val="center"/>
        <w:rPr>
          <w:rFonts w:ascii="Trebuchet MS" w:hAnsi="Trebuchet MS"/>
          <w:color w:val="5D2C13" w:themeColor="accent6" w:themeShade="80"/>
          <w:sz w:val="32"/>
          <w:szCs w:val="32"/>
        </w:rPr>
      </w:pPr>
    </w:p>
    <w:p w:rsidR="00F74592" w:rsidRPr="00F74592" w:rsidRDefault="00235F6F" w:rsidP="00F74592">
      <w:pPr>
        <w:pStyle w:val="ListParagraph"/>
        <w:tabs>
          <w:tab w:val="left" w:pos="8083"/>
        </w:tabs>
        <w:spacing w:after="0" w:line="240" w:lineRule="auto"/>
        <w:ind w:left="0"/>
        <w:jc w:val="center"/>
        <w:rPr>
          <w:b/>
          <w:i/>
          <w:color w:val="5D2C13" w:themeColor="accent6" w:themeShade="80"/>
        </w:rPr>
      </w:pPr>
      <w:proofErr w:type="spellStart"/>
      <w:r w:rsidRPr="00235F6F">
        <w:rPr>
          <w:rFonts w:ascii="Trebuchet MS" w:hAnsi="Trebuchet MS"/>
          <w:color w:val="5D2C13" w:themeColor="accent6" w:themeShade="80"/>
          <w:sz w:val="32"/>
          <w:szCs w:val="32"/>
        </w:rPr>
        <w:t>r.s.v.p</w:t>
      </w:r>
      <w:proofErr w:type="spellEnd"/>
      <w:r w:rsidRPr="00235F6F">
        <w:rPr>
          <w:rFonts w:ascii="Trebuchet MS" w:hAnsi="Trebuchet MS"/>
          <w:color w:val="5D2C13" w:themeColor="accent6" w:themeShade="80"/>
          <w:sz w:val="32"/>
          <w:szCs w:val="32"/>
        </w:rPr>
        <w:t xml:space="preserve"> </w:t>
      </w:r>
      <w:hyperlink r:id="rId8" w:history="1">
        <w:r w:rsidRPr="00235F6F">
          <w:rPr>
            <w:rStyle w:val="Hyperlink"/>
            <w:rFonts w:ascii="Trebuchet MS" w:hAnsi="Trebuchet MS"/>
            <w:color w:val="5D2C13" w:themeColor="accent6" w:themeShade="80"/>
            <w:sz w:val="32"/>
            <w:szCs w:val="32"/>
          </w:rPr>
          <w:t>victoria.adams@circlebath.co.uk</w:t>
        </w:r>
      </w:hyperlink>
    </w:p>
    <w:sectPr w:rsidR="00F74592" w:rsidRPr="00F74592" w:rsidSect="00477501">
      <w:headerReference w:type="default" r:id="rId9"/>
      <w:footerReference w:type="default" r:id="rId10"/>
      <w:pgSz w:w="11906" w:h="16838"/>
      <w:pgMar w:top="5500" w:right="1440" w:bottom="1440" w:left="11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DA" w:rsidRDefault="00CE0CDA" w:rsidP="00E110A4">
      <w:pPr>
        <w:spacing w:after="0" w:line="240" w:lineRule="auto"/>
      </w:pPr>
      <w:r>
        <w:separator/>
      </w:r>
    </w:p>
  </w:endnote>
  <w:endnote w:type="continuationSeparator" w:id="0">
    <w:p w:rsidR="00CE0CDA" w:rsidRDefault="00CE0CDA" w:rsidP="00E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DF" w:rsidRDefault="00900CDF" w:rsidP="00235F6F">
    <w:pPr>
      <w:pStyle w:val="Footer"/>
      <w:jc w:val="center"/>
    </w:pPr>
  </w:p>
  <w:p w:rsidR="00900CDF" w:rsidRDefault="00900CDF" w:rsidP="00235F6F">
    <w:pPr>
      <w:pStyle w:val="Footer"/>
      <w:jc w:val="center"/>
    </w:pPr>
  </w:p>
  <w:p w:rsidR="00900CDF" w:rsidRDefault="00900CDF" w:rsidP="00235F6F">
    <w:pPr>
      <w:pStyle w:val="Footer"/>
      <w:jc w:val="center"/>
    </w:pPr>
  </w:p>
  <w:p w:rsidR="0021079C" w:rsidRDefault="0021079C" w:rsidP="00235F6F">
    <w:pPr>
      <w:pStyle w:val="Footer"/>
      <w:jc w:val="center"/>
    </w:pPr>
    <w:proofErr w:type="spellStart"/>
    <w:r>
      <w:t>CircleBath</w:t>
    </w:r>
    <w:proofErr w:type="spellEnd"/>
    <w:r>
      <w:t xml:space="preserve"> Hospital, </w:t>
    </w:r>
    <w:proofErr w:type="spellStart"/>
    <w:r>
      <w:t>Foxcote</w:t>
    </w:r>
    <w:proofErr w:type="spellEnd"/>
    <w:r>
      <w:t xml:space="preserve"> Avenue, </w:t>
    </w:r>
    <w:proofErr w:type="spellStart"/>
    <w:r>
      <w:t>Peasedown</w:t>
    </w:r>
    <w:proofErr w:type="spellEnd"/>
    <w:r>
      <w:t xml:space="preserve"> St John, Bath BA2 8SQ    01761 422222</w:t>
    </w:r>
  </w:p>
  <w:p w:rsidR="0021079C" w:rsidRDefault="0021079C" w:rsidP="00235F6F">
    <w:pPr>
      <w:pStyle w:val="Footer"/>
      <w:jc w:val="center"/>
    </w:pPr>
    <w:r>
      <w:t>circlebath.co.uk</w:t>
    </w:r>
  </w:p>
  <w:p w:rsidR="0021079C" w:rsidRDefault="0021079C">
    <w:pPr>
      <w:pStyle w:val="Footer"/>
    </w:pPr>
  </w:p>
  <w:p w:rsidR="0021079C" w:rsidRDefault="0021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DA" w:rsidRDefault="00CE0CDA" w:rsidP="00E110A4">
      <w:pPr>
        <w:spacing w:after="0" w:line="240" w:lineRule="auto"/>
      </w:pPr>
      <w:r>
        <w:separator/>
      </w:r>
    </w:p>
  </w:footnote>
  <w:footnote w:type="continuationSeparator" w:id="0">
    <w:p w:rsidR="00CE0CDA" w:rsidRDefault="00CE0CDA" w:rsidP="00E1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9C" w:rsidRDefault="002107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894EB5" wp14:editId="559D5FB4">
          <wp:simplePos x="0" y="0"/>
          <wp:positionH relativeFrom="column">
            <wp:posOffset>5054779</wp:posOffset>
          </wp:positionH>
          <wp:positionV relativeFrom="paragraph">
            <wp:posOffset>16510</wp:posOffset>
          </wp:positionV>
          <wp:extent cx="1419225" cy="94805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BATH_CMYK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79C" w:rsidRDefault="00210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16"/>
    <w:multiLevelType w:val="hybridMultilevel"/>
    <w:tmpl w:val="63E82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D1E2F"/>
    <w:multiLevelType w:val="hybridMultilevel"/>
    <w:tmpl w:val="2B3E72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50"/>
    <w:rsid w:val="0004063E"/>
    <w:rsid w:val="000A6BF2"/>
    <w:rsid w:val="0021079C"/>
    <w:rsid w:val="00235F6F"/>
    <w:rsid w:val="00477501"/>
    <w:rsid w:val="004D27FC"/>
    <w:rsid w:val="00773350"/>
    <w:rsid w:val="007F416A"/>
    <w:rsid w:val="00802EBF"/>
    <w:rsid w:val="00900CDF"/>
    <w:rsid w:val="00A14947"/>
    <w:rsid w:val="00AB0EF7"/>
    <w:rsid w:val="00C83B39"/>
    <w:rsid w:val="00CE0CDA"/>
    <w:rsid w:val="00D440E5"/>
    <w:rsid w:val="00E0594E"/>
    <w:rsid w:val="00E110A4"/>
    <w:rsid w:val="00F74592"/>
    <w:rsid w:val="00F83DFB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A4"/>
  </w:style>
  <w:style w:type="paragraph" w:styleId="Heading1">
    <w:name w:val="heading 1"/>
    <w:basedOn w:val="Normal"/>
    <w:next w:val="Normal"/>
    <w:link w:val="Heading1Char"/>
    <w:uiPriority w:val="9"/>
    <w:qFormat/>
    <w:rsid w:val="00E110A4"/>
    <w:pPr>
      <w:framePr w:hSpace="181" w:wrap="around" w:vAnchor="text" w:hAnchor="margin" w:y="-1371"/>
      <w:spacing w:after="0" w:line="240" w:lineRule="auto"/>
      <w:outlineLvl w:val="0"/>
    </w:pPr>
    <w:rPr>
      <w:rFonts w:ascii="Trebuchet MS" w:hAnsi="Trebuchet MS"/>
      <w:color w:val="ABAD23" w:themeColor="accent2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0A4"/>
    <w:rPr>
      <w:rFonts w:ascii="Trebuchet MS" w:hAnsi="Trebuchet MS"/>
      <w:color w:val="ABAD23" w:themeColor="accent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E1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A4"/>
  </w:style>
  <w:style w:type="table" w:styleId="TableGrid">
    <w:name w:val="Table Grid"/>
    <w:basedOn w:val="TableNormal"/>
    <w:uiPriority w:val="59"/>
    <w:rsid w:val="00E1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A4"/>
  </w:style>
  <w:style w:type="paragraph" w:styleId="BalloonText">
    <w:name w:val="Balloon Text"/>
    <w:basedOn w:val="Normal"/>
    <w:link w:val="BalloonTextChar"/>
    <w:uiPriority w:val="99"/>
    <w:semiHidden/>
    <w:unhideWhenUsed/>
    <w:rsid w:val="00E1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350"/>
    <w:rPr>
      <w:color w:val="6D4F47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0EF7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EF7"/>
    <w:rPr>
      <w:rFonts w:ascii="Calibri" w:eastAsiaTheme="minorEastAsia" w:hAnsi="Calibri" w:cs="Times New Roman"/>
      <w:szCs w:val="21"/>
      <w:lang w:eastAsia="en-GB"/>
    </w:rPr>
  </w:style>
  <w:style w:type="paragraph" w:customStyle="1" w:styleId="Default">
    <w:name w:val="Default"/>
    <w:rsid w:val="00F8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A4"/>
  </w:style>
  <w:style w:type="paragraph" w:styleId="Heading1">
    <w:name w:val="heading 1"/>
    <w:basedOn w:val="Normal"/>
    <w:next w:val="Normal"/>
    <w:link w:val="Heading1Char"/>
    <w:uiPriority w:val="9"/>
    <w:qFormat/>
    <w:rsid w:val="00E110A4"/>
    <w:pPr>
      <w:framePr w:hSpace="181" w:wrap="around" w:vAnchor="text" w:hAnchor="margin" w:y="-1371"/>
      <w:spacing w:after="0" w:line="240" w:lineRule="auto"/>
      <w:outlineLvl w:val="0"/>
    </w:pPr>
    <w:rPr>
      <w:rFonts w:ascii="Trebuchet MS" w:hAnsi="Trebuchet MS"/>
      <w:color w:val="ABAD23" w:themeColor="accent2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0A4"/>
    <w:rPr>
      <w:rFonts w:ascii="Trebuchet MS" w:hAnsi="Trebuchet MS"/>
      <w:color w:val="ABAD23" w:themeColor="accent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E1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A4"/>
  </w:style>
  <w:style w:type="table" w:styleId="TableGrid">
    <w:name w:val="Table Grid"/>
    <w:basedOn w:val="TableNormal"/>
    <w:uiPriority w:val="59"/>
    <w:rsid w:val="00E1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A4"/>
  </w:style>
  <w:style w:type="paragraph" w:styleId="BalloonText">
    <w:name w:val="Balloon Text"/>
    <w:basedOn w:val="Normal"/>
    <w:link w:val="BalloonTextChar"/>
    <w:uiPriority w:val="99"/>
    <w:semiHidden/>
    <w:unhideWhenUsed/>
    <w:rsid w:val="00E1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350"/>
    <w:rPr>
      <w:color w:val="6D4F47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0EF7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EF7"/>
    <w:rPr>
      <w:rFonts w:ascii="Calibri" w:eastAsiaTheme="minorEastAsia" w:hAnsi="Calibri" w:cs="Times New Roman"/>
      <w:szCs w:val="21"/>
      <w:lang w:eastAsia="en-GB"/>
    </w:rPr>
  </w:style>
  <w:style w:type="paragraph" w:customStyle="1" w:styleId="Default">
    <w:name w:val="Default"/>
    <w:rsid w:val="00F8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adams@circlebath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adams\AppData\Roaming\Microsoft\Templates\CIR-Official%20Notice%20Plain%20-%20Bath.dotx" TargetMode="Externa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CIR-Official Notice Plain - Bath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Partnership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 IT</dc:creator>
  <cp:lastModifiedBy>SGPET (Somerset LMC)</cp:lastModifiedBy>
  <cp:revision>2</cp:revision>
  <cp:lastPrinted>2017-03-01T10:24:00Z</cp:lastPrinted>
  <dcterms:created xsi:type="dcterms:W3CDTF">2017-03-13T09:53:00Z</dcterms:created>
  <dcterms:modified xsi:type="dcterms:W3CDTF">2017-03-13T09:53:00Z</dcterms:modified>
</cp:coreProperties>
</file>